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380365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80"/>
        <w:spacing w:after="0"/>
        <w:rPr>
          <w:sz w:val="20"/>
          <w:szCs w:val="20"/>
          <w:color w:val="auto"/>
        </w:rPr>
      </w:pPr>
      <w:r>
        <w:rPr>
          <w:rFonts w:ascii="Arial" w:cs="Arial" w:eastAsia="Arial" w:hAnsi="Arial"/>
          <w:sz w:val="18"/>
          <w:szCs w:val="18"/>
          <w:color w:val="auto"/>
        </w:rPr>
        <w:t>For the month of November, 2018</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0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40"/>
        <w:spacing w:after="0" w:line="207" w:lineRule="exact"/>
        <w:tabs>
          <w:tab w:leader="none" w:pos="5760" w:val="left"/>
          <w:tab w:leader="none" w:pos="61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ab/>
        <w:t>No</w:t>
      </w:r>
      <w:r>
        <w:rPr>
          <w:sz w:val="20"/>
          <w:szCs w:val="20"/>
          <w:color w:val="auto"/>
        </w:rPr>
        <w:tab/>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40"/>
        <w:spacing w:after="0" w:line="207" w:lineRule="exact"/>
        <w:tabs>
          <w:tab w:leader="none" w:pos="5760" w:val="left"/>
          <w:tab w:leader="none" w:pos="61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ab/>
        <w:t>No</w:t>
      </w:r>
      <w:r>
        <w:rPr>
          <w:sz w:val="20"/>
          <w:szCs w:val="20"/>
          <w:color w:val="auto"/>
        </w:rPr>
        <w:tab/>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627380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82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November 2, 2018</w:t>
      </w:r>
    </w:p>
    <w:p>
      <w:pPr>
        <w:spacing w:after="0" w:line="225" w:lineRule="exact"/>
        <w:rPr>
          <w:sz w:val="20"/>
          <w:szCs w:val="20"/>
          <w:color w:val="auto"/>
        </w:rPr>
      </w:pPr>
    </w:p>
    <w:p>
      <w:pPr>
        <w:ind w:left="516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16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340"/>
        <w:spacing w:after="0"/>
        <w:rPr>
          <w:sz w:val="20"/>
          <w:szCs w:val="20"/>
          <w:color w:val="auto"/>
        </w:rPr>
      </w:pPr>
      <w:r>
        <w:rPr>
          <w:rFonts w:ascii="Arial" w:cs="Arial" w:eastAsia="Arial" w:hAnsi="Arial"/>
          <w:sz w:val="32"/>
          <w:szCs w:val="32"/>
          <w:b w:val="1"/>
          <w:bCs w:val="1"/>
          <w:color w:val="auto"/>
        </w:rPr>
        <w:t>and Subsidiaries</w:t>
      </w:r>
    </w:p>
    <w:p>
      <w:pPr>
        <w:spacing w:after="0" w:line="35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Unaudited condensed consolidated interim statement of financial position as of September 30, 2018 and December 31, 2017, and related unaudited condensed consolidated interim statements of profit or loss, unaudited condensed consolidated interim statements of profit or loss and other comprehensive income, unaudited condensed consolidated interim statements of changes in stockholder’s equity and unaudited condensed consolidated interim statements of cash flows for the nine months ended September 30, 2018, 2017 and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401955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55" w:right="239" w:bottom="1440" w:gutter="0" w:footer="0" w:header="0"/>
        </w:sectPr>
      </w:pPr>
    </w:p>
    <w:bookmarkStart w:id="3" w:name="page4"/>
    <w:bookmarkEnd w:id="3"/>
    <w:p>
      <w:pPr>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8" w:lineRule="exact"/>
        <w:rPr>
          <w:sz w:val="20"/>
          <w:szCs w:val="20"/>
          <w:color w:val="auto"/>
        </w:rPr>
      </w:pPr>
    </w:p>
    <w:p>
      <w:pPr>
        <w:ind w:left="200"/>
        <w:spacing w:after="0"/>
        <w:rPr>
          <w:sz w:val="20"/>
          <w:szCs w:val="20"/>
          <w:color w:val="auto"/>
        </w:rPr>
      </w:pPr>
      <w:r>
        <w:rPr>
          <w:rFonts w:ascii="Arial" w:cs="Arial" w:eastAsia="Arial" w:hAnsi="Arial"/>
          <w:sz w:val="25"/>
          <w:szCs w:val="25"/>
          <w:b w:val="1"/>
          <w:bCs w:val="1"/>
          <w:color w:val="auto"/>
        </w:rPr>
        <w:t>and Subsidiaries</w:t>
      </w: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060" w:type="dxa"/>
            <w:vAlign w:val="bottom"/>
            <w:gridSpan w:val="8"/>
          </w:tcPr>
          <w:p>
            <w:pPr>
              <w:spacing w:after="0"/>
              <w:rPr>
                <w:sz w:val="20"/>
                <w:szCs w:val="20"/>
                <w:color w:val="auto"/>
              </w:rPr>
            </w:pPr>
            <w:r>
              <w:rPr>
                <w:rFonts w:ascii="Arial" w:cs="Arial" w:eastAsia="Arial" w:hAnsi="Arial"/>
                <w:sz w:val="18"/>
                <w:szCs w:val="18"/>
                <w:b w:val="1"/>
                <w:bCs w:val="1"/>
                <w:color w:val="auto"/>
              </w:rPr>
              <w:t>Unaudited condensed consolidated interim financial statements</w:t>
            </w:r>
          </w:p>
        </w:tc>
        <w:tc>
          <w:tcPr>
            <w:tcW w:w="1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060" w:type="dxa"/>
            <w:vAlign w:val="bottom"/>
            <w:gridSpan w:val="8"/>
          </w:tcPr>
          <w:p>
            <w:pPr>
              <w:spacing w:after="0"/>
              <w:rPr>
                <w:sz w:val="20"/>
                <w:szCs w:val="20"/>
                <w:color w:val="auto"/>
              </w:rPr>
            </w:pPr>
            <w:r>
              <w:rPr>
                <w:rFonts w:ascii="Arial" w:cs="Arial" w:eastAsia="Arial" w:hAnsi="Arial"/>
                <w:sz w:val="18"/>
                <w:szCs w:val="18"/>
                <w:b w:val="1"/>
                <w:bCs w:val="1"/>
                <w:color w:val="auto"/>
              </w:rPr>
              <w:t>Contents</w:t>
            </w:r>
          </w:p>
        </w:tc>
        <w:tc>
          <w:tcPr>
            <w:tcW w:w="2360" w:type="dxa"/>
            <w:vAlign w:val="bottom"/>
            <w:gridSpan w:val="5"/>
          </w:tcPr>
          <w:p>
            <w:pPr>
              <w:ind w:left="158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statements of financial position</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5">
              <w:r>
                <w:rPr>
                  <w:rFonts w:ascii="Arial" w:cs="Arial" w:eastAsia="Arial" w:hAnsi="Arial"/>
                  <w:sz w:val="18"/>
                  <w:szCs w:val="18"/>
                  <w:color w:val="0000EE"/>
                  <w:w w:val="99"/>
                </w:rPr>
                <w:t>3</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statements of profit or loss</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7">
              <w:r>
                <w:rPr>
                  <w:rFonts w:ascii="Arial" w:cs="Arial" w:eastAsia="Arial" w:hAnsi="Arial"/>
                  <w:sz w:val="18"/>
                  <w:szCs w:val="18"/>
                  <w:color w:val="0000EE"/>
                  <w:w w:val="99"/>
                </w:rPr>
                <w:t>4</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statements of profit or loss and other comprehensive income</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8">
              <w:r>
                <w:rPr>
                  <w:rFonts w:ascii="Arial" w:cs="Arial" w:eastAsia="Arial" w:hAnsi="Arial"/>
                  <w:sz w:val="18"/>
                  <w:szCs w:val="18"/>
                  <w:color w:val="0000EE"/>
                  <w:w w:val="99"/>
                </w:rPr>
                <w:t>5</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960" w:type="dxa"/>
            <w:vAlign w:val="bottom"/>
            <w:tcBorders>
              <w:top w:val="single" w:sz="8" w:color="0000EE"/>
            </w:tcBorders>
          </w:tcPr>
          <w:p>
            <w:pPr>
              <w:spacing w:after="0"/>
              <w:rPr>
                <w:sz w:val="18"/>
                <w:szCs w:val="18"/>
                <w:color w:val="auto"/>
              </w:rPr>
            </w:pPr>
          </w:p>
        </w:tc>
        <w:tc>
          <w:tcPr>
            <w:tcW w:w="1080" w:type="dxa"/>
            <w:vAlign w:val="bottom"/>
            <w:tcBorders>
              <w:top w:val="single" w:sz="8" w:color="0000EE"/>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statements of changes in stockholder’s equity</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9">
              <w:r>
                <w:rPr>
                  <w:rFonts w:ascii="Arial" w:cs="Arial" w:eastAsia="Arial" w:hAnsi="Arial"/>
                  <w:sz w:val="18"/>
                  <w:szCs w:val="18"/>
                  <w:color w:val="0000EE"/>
                  <w:w w:val="99"/>
                </w:rPr>
                <w:t>6</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960" w:type="dxa"/>
            <w:vAlign w:val="bottom"/>
            <w:tcBorders>
              <w:top w:val="single" w:sz="8" w:color="0000EE"/>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Unaudited condensed consolidated interim statements of cash flows</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10">
              <w:r>
                <w:rPr>
                  <w:rFonts w:ascii="Arial" w:cs="Arial" w:eastAsia="Arial" w:hAnsi="Arial"/>
                  <w:sz w:val="18"/>
                  <w:szCs w:val="18"/>
                  <w:color w:val="0000EE"/>
                  <w:w w:val="99"/>
                </w:rPr>
                <w:t>7</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42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9"/>
              </w:rPr>
            </w:pPr>
            <w:hyperlink w:anchor="page11">
              <w:r>
                <w:rPr>
                  <w:rFonts w:ascii="Arial" w:cs="Arial" w:eastAsia="Arial" w:hAnsi="Arial"/>
                  <w:sz w:val="18"/>
                  <w:szCs w:val="18"/>
                  <w:color w:val="0000EE"/>
                  <w:w w:val="89"/>
                </w:rPr>
                <w:t>Notes to the unaudited condensed consolidated interim financial statements</w:t>
              </w:r>
            </w:hyperlink>
          </w:p>
        </w:tc>
        <w:tc>
          <w:tcPr>
            <w:tcW w:w="3620" w:type="dxa"/>
            <w:vAlign w:val="bottom"/>
            <w:tcBorders>
              <w:bottom w:val="single" w:sz="8" w:color="CCEEFF"/>
            </w:tcBorders>
            <w:gridSpan w:val="3"/>
            <w:shd w:val="clear" w:color="auto" w:fill="CCEEFF"/>
          </w:tcPr>
          <w:p>
            <w:pPr>
              <w:spacing w:after="0"/>
              <w:rPr>
                <w:sz w:val="17"/>
                <w:szCs w:val="17"/>
                <w:color w:val="auto"/>
              </w:rPr>
            </w:pPr>
          </w:p>
        </w:tc>
        <w:tc>
          <w:tcPr>
            <w:tcW w:w="1620" w:type="dxa"/>
            <w:vAlign w:val="bottom"/>
            <w:tcBorders>
              <w:bottom w:val="single" w:sz="8" w:color="CCEEFF"/>
            </w:tcBorders>
            <w:shd w:val="clear" w:color="auto" w:fill="CCEEFF"/>
          </w:tcPr>
          <w:p>
            <w:pPr>
              <w:spacing w:after="0"/>
              <w:rPr>
                <w:sz w:val="17"/>
                <w:szCs w:val="17"/>
                <w:color w:val="auto"/>
              </w:rPr>
            </w:pPr>
          </w:p>
        </w:tc>
        <w:tc>
          <w:tcPr>
            <w:tcW w:w="340" w:type="dxa"/>
            <w:vAlign w:val="bottom"/>
            <w:tcBorders>
              <w:bottom w:val="single" w:sz="8" w:color="0000EE"/>
            </w:tcBorders>
            <w:gridSpan w:val="3"/>
            <w:shd w:val="clear" w:color="auto" w:fill="CCEEFF"/>
          </w:tcPr>
          <w:p>
            <w:pPr>
              <w:jc w:val="center"/>
              <w:spacing w:after="0" w:line="176" w:lineRule="exact"/>
              <w:rPr>
                <w:rFonts w:ascii="Arial" w:cs="Arial" w:eastAsia="Arial" w:hAnsi="Arial"/>
                <w:sz w:val="18"/>
                <w:szCs w:val="18"/>
                <w:color w:val="0000EE"/>
                <w:w w:val="94"/>
              </w:rPr>
            </w:pPr>
            <w:hyperlink w:anchor="page11">
              <w:r>
                <w:rPr>
                  <w:rFonts w:ascii="Arial" w:cs="Arial" w:eastAsia="Arial" w:hAnsi="Arial"/>
                  <w:sz w:val="18"/>
                  <w:szCs w:val="18"/>
                  <w:color w:val="0000EE"/>
                  <w:w w:val="94"/>
                </w:rPr>
                <w:t>8-82</w:t>
              </w:r>
            </w:hyperlink>
          </w:p>
        </w:tc>
        <w:tc>
          <w:tcPr>
            <w:tcW w:w="4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6380" w:type="dxa"/>
            <w:vAlign w:val="bottom"/>
            <w:tcBorders>
              <w:bottom w:val="single" w:sz="8" w:color="auto"/>
            </w:tcBorders>
            <w:gridSpan w:val="5"/>
          </w:tcPr>
          <w:p>
            <w:pPr>
              <w:jc w:val="right"/>
              <w:ind w:right="640"/>
              <w:spacing w:after="0"/>
              <w:rPr>
                <w:sz w:val="20"/>
                <w:szCs w:val="20"/>
                <w:color w:val="auto"/>
              </w:rPr>
            </w:pPr>
            <w:r>
              <w:rPr>
                <w:rFonts w:ascii="Arial" w:cs="Arial" w:eastAsia="Arial" w:hAnsi="Arial"/>
                <w:sz w:val="18"/>
                <w:szCs w:val="18"/>
                <w:color w:val="auto"/>
              </w:rPr>
              <w:t>2</w:t>
            </w:r>
          </w:p>
        </w:tc>
        <w:tc>
          <w:tcPr>
            <w:tcW w:w="10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3" w:right="239" w:bottom="1440" w:gutter="0" w:footer="0" w:header="0"/>
        </w:sectPr>
      </w:pPr>
    </w:p>
    <w:bookmarkStart w:id="4" w:name="page5"/>
    <w:bookmarkEnd w:id="4"/>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September 30, 2018 and December 31, 2017</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0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7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5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19"/>
                <w:szCs w:val="19"/>
                <w:color w:val="auto"/>
              </w:rPr>
            </w:pPr>
          </w:p>
        </w:tc>
        <w:tc>
          <w:tcPr>
            <w:tcW w:w="1040" w:type="dxa"/>
            <w:vAlign w:val="bottom"/>
            <w:vMerge w:val="restart"/>
          </w:tcPr>
          <w:p>
            <w:pPr>
              <w:ind w:left="240"/>
              <w:spacing w:after="0"/>
              <w:rPr>
                <w:sz w:val="20"/>
                <w:szCs w:val="20"/>
                <w:color w:val="auto"/>
              </w:rPr>
            </w:pPr>
            <w:r>
              <w:rPr>
                <w:rFonts w:ascii="Arial" w:cs="Arial" w:eastAsia="Arial" w:hAnsi="Arial"/>
                <w:sz w:val="18"/>
                <w:szCs w:val="18"/>
                <w:b w:val="1"/>
                <w:bCs w:val="1"/>
                <w:color w:val="auto"/>
              </w:rPr>
              <w:t>Notes</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19"/>
                <w:szCs w:val="19"/>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1040" w:type="dxa"/>
            <w:vAlign w:val="bottom"/>
            <w:vMerge w:val="continue"/>
          </w:tcPr>
          <w:p>
            <w:pPr>
              <w:spacing w:after="0"/>
              <w:rPr>
                <w:sz w:val="20"/>
                <w:szCs w:val="20"/>
                <w:color w:val="auto"/>
              </w:rPr>
            </w:pPr>
          </w:p>
        </w:tc>
        <w:tc>
          <w:tcPr>
            <w:tcW w:w="17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(Unaudited)</w:t>
            </w:r>
          </w:p>
        </w:tc>
        <w:tc>
          <w:tcPr>
            <w:tcW w:w="15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87"/>
              </w:rPr>
              <w:t>4,5,18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792,952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672,048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Securities at fair value through OCI</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91"/>
              </w:rPr>
              <w:t>5,18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20,971</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25,135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amortized cost, net</w:t>
            </w:r>
          </w:p>
        </w:tc>
        <w:tc>
          <w:tcPr>
            <w:tcW w:w="10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1"/>
              </w:rPr>
              <w:t>5,18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77,562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68,934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Loans</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91"/>
              </w:rPr>
              <w:t>5,18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5,724,518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5,505,658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Less:</w:t>
            </w: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320"/>
              <w:spacing w:after="0"/>
              <w:rPr>
                <w:sz w:val="20"/>
                <w:szCs w:val="20"/>
                <w:color w:val="auto"/>
              </w:rPr>
            </w:pPr>
            <w:r>
              <w:rPr>
                <w:rFonts w:ascii="Arial" w:cs="Arial" w:eastAsia="Arial" w:hAnsi="Arial"/>
                <w:sz w:val="18"/>
                <w:szCs w:val="18"/>
                <w:color w:val="auto"/>
              </w:rPr>
              <w:t>Allowance for expected credit losses</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79"/>
              </w:rPr>
              <w:t>5</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139,318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81,294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Unearned interest and deferred fees</w:t>
            </w:r>
          </w:p>
        </w:tc>
        <w:tc>
          <w:tcPr>
            <w:tcW w:w="10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79"/>
              </w:rPr>
              <w:t>5</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7,357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4,985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Loans, net</w:t>
            </w:r>
          </w:p>
        </w:tc>
        <w:tc>
          <w:tcPr>
            <w:tcW w:w="104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5,577,843</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5,419,379</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040" w:type="dxa"/>
            <w:vAlign w:val="bottom"/>
          </w:tcPr>
          <w:p>
            <w:pPr>
              <w:jc w:val="center"/>
              <w:ind w:right="50"/>
              <w:spacing w:after="0"/>
              <w:rPr>
                <w:sz w:val="20"/>
                <w:szCs w:val="20"/>
                <w:color w:val="auto"/>
              </w:rPr>
            </w:pPr>
            <w:r>
              <w:rPr>
                <w:rFonts w:ascii="Arial" w:cs="Arial" w:eastAsia="Arial" w:hAnsi="Arial"/>
                <w:sz w:val="18"/>
                <w:szCs w:val="18"/>
                <w:color w:val="auto"/>
                <w:w w:val="89"/>
              </w:rPr>
              <w:t>5,16,18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3,391</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13,338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Investment properties, net</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79"/>
              </w:rPr>
              <w:t>7</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2,289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5,119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10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6,692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7,420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104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1,798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5,425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040" w:type="dxa"/>
            <w:vAlign w:val="bottom"/>
          </w:tcPr>
          <w:p>
            <w:pPr>
              <w:jc w:val="center"/>
              <w:ind w:right="50"/>
              <w:spacing w:after="0"/>
              <w:rPr>
                <w:sz w:val="20"/>
                <w:szCs w:val="20"/>
                <w:color w:val="auto"/>
              </w:rPr>
            </w:pPr>
            <w:r>
              <w:rPr>
                <w:rFonts w:ascii="Arial" w:cs="Arial" w:eastAsia="Arial" w:hAnsi="Arial"/>
                <w:sz w:val="18"/>
                <w:szCs w:val="18"/>
                <w:color w:val="auto"/>
                <w:w w:val="89"/>
              </w:rPr>
              <w:t>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24,232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6,369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receivable</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45,367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30,872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Other assets</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79"/>
              </w:rPr>
              <w:t>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7,661</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13,708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of other assets</w:t>
            </w:r>
          </w:p>
        </w:tc>
        <w:tc>
          <w:tcPr>
            <w:tcW w:w="10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77,260</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50,949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04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6,560,758</w:t>
            </w:r>
          </w:p>
        </w:tc>
        <w:tc>
          <w:tcPr>
            <w:tcW w:w="2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6,267,747</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0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0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1"/>
              </w:rPr>
              <w:t>9,18</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Noninterest-bearing - Demand</w:t>
            </w:r>
          </w:p>
        </w:tc>
        <w:tc>
          <w:tcPr>
            <w:tcW w:w="10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203</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420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Interest-bearing - Demand</w:t>
            </w:r>
          </w:p>
        </w:tc>
        <w:tc>
          <w:tcPr>
            <w:tcW w:w="104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77,928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81,644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Time</w:t>
            </w:r>
          </w:p>
        </w:tc>
        <w:tc>
          <w:tcPr>
            <w:tcW w:w="1040" w:type="dxa"/>
            <w:vAlign w:val="bottom"/>
          </w:tcPr>
          <w:p>
            <w:pPr>
              <w:spacing w:after="0"/>
              <w:rPr>
                <w:sz w:val="19"/>
                <w:szCs w:val="19"/>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2,699,404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2,846,780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0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2,777,535</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5,16,18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26,394</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34,943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5,10,18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39,767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88"/>
              </w:rPr>
              <w:t>11,18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1,237,603</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1,072,723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0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8"/>
              </w:rPr>
              <w:t>11,18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1,423,952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1,138,844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Acceptances outstanding</w:t>
            </w:r>
          </w:p>
        </w:tc>
        <w:tc>
          <w:tcPr>
            <w:tcW w:w="1040" w:type="dxa"/>
            <w:vAlign w:val="bottom"/>
          </w:tcPr>
          <w:p>
            <w:pPr>
              <w:jc w:val="center"/>
              <w:ind w:right="50"/>
              <w:spacing w:after="0"/>
              <w:rPr>
                <w:sz w:val="20"/>
                <w:szCs w:val="20"/>
                <w:color w:val="auto"/>
              </w:rPr>
            </w:pPr>
            <w:r>
              <w:rPr>
                <w:rFonts w:ascii="Arial" w:cs="Arial" w:eastAsia="Arial" w:hAnsi="Arial"/>
                <w:sz w:val="18"/>
                <w:szCs w:val="18"/>
                <w:color w:val="auto"/>
                <w:w w:val="89"/>
              </w:rPr>
              <w:t>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24,232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6,369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payable</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23,427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15,816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w w:val="92"/>
              </w:rPr>
              <w:t>Allowance for expected credit losses on loan commitments and financial guarantees contracts</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79"/>
              </w:rPr>
              <w:t>6</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3,219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6,845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liabilities</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12</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15,678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20,551</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liabilities</w:t>
            </w:r>
          </w:p>
        </w:tc>
        <w:tc>
          <w:tcPr>
            <w:tcW w:w="104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66,556</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49,581</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04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5,571,807</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5,224,935</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Stockholders' equity:</w:t>
            </w:r>
          </w:p>
        </w:tc>
        <w:tc>
          <w:tcPr>
            <w:tcW w:w="10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14</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Treasury stock</w:t>
            </w:r>
          </w:p>
        </w:tc>
        <w:tc>
          <w:tcPr>
            <w:tcW w:w="1040" w:type="dxa"/>
            <w:vAlign w:val="bottom"/>
          </w:tcPr>
          <w:p>
            <w:pPr>
              <w:jc w:val="center"/>
              <w:ind w:right="50"/>
              <w:spacing w:after="0"/>
              <w:rPr>
                <w:sz w:val="20"/>
                <w:szCs w:val="20"/>
                <w:color w:val="auto"/>
              </w:rPr>
            </w:pPr>
            <w:r>
              <w:rPr>
                <w:rFonts w:ascii="Arial" w:cs="Arial" w:eastAsia="Arial" w:hAnsi="Arial"/>
                <w:sz w:val="18"/>
                <w:szCs w:val="18"/>
                <w:color w:val="auto"/>
                <w:w w:val="89"/>
              </w:rPr>
              <w:t>15</w:t>
            </w:r>
          </w:p>
        </w:tc>
        <w:tc>
          <w:tcPr>
            <w:tcW w:w="1700" w:type="dxa"/>
            <w:vAlign w:val="bottom"/>
            <w:gridSpan w:val="2"/>
          </w:tcPr>
          <w:p>
            <w:pPr>
              <w:jc w:val="right"/>
              <w:ind w:right="160"/>
              <w:spacing w:after="0"/>
              <w:rPr>
                <w:sz w:val="20"/>
                <w:szCs w:val="20"/>
                <w:color w:val="auto"/>
              </w:rPr>
            </w:pPr>
            <w:r>
              <w:rPr>
                <w:rFonts w:ascii="Arial" w:cs="Arial" w:eastAsia="Arial" w:hAnsi="Arial"/>
                <w:sz w:val="18"/>
                <w:szCs w:val="18"/>
                <w:color w:val="auto"/>
              </w:rPr>
              <w:t>(61,076)</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(63,248)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14</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119,523</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119,941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Capital reserves</w:t>
            </w:r>
          </w:p>
        </w:tc>
        <w:tc>
          <w:tcPr>
            <w:tcW w:w="10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95,210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Dymanic provision</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22</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108,756</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108,756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040" w:type="dxa"/>
            <w:vAlign w:val="bottom"/>
          </w:tcPr>
          <w:p>
            <w:pPr>
              <w:jc w:val="center"/>
              <w:ind w:right="50"/>
              <w:spacing w:after="0"/>
              <w:rPr>
                <w:sz w:val="20"/>
                <w:szCs w:val="20"/>
                <w:color w:val="auto"/>
              </w:rPr>
            </w:pPr>
            <w:r>
              <w:rPr>
                <w:rFonts w:ascii="Arial" w:cs="Arial" w:eastAsia="Arial" w:hAnsi="Arial"/>
                <w:sz w:val="18"/>
                <w:szCs w:val="18"/>
                <w:color w:val="auto"/>
                <w:w w:val="89"/>
              </w:rPr>
              <w:t>22</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20,498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10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22</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444,959</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479,712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Accumulated other comprehensive income (loss)</w:t>
            </w:r>
          </w:p>
        </w:tc>
        <w:tc>
          <w:tcPr>
            <w:tcW w:w="1040" w:type="dxa"/>
            <w:vAlign w:val="bottom"/>
          </w:tcPr>
          <w:p>
            <w:pPr>
              <w:jc w:val="center"/>
              <w:ind w:right="30"/>
              <w:spacing w:after="0"/>
              <w:rPr>
                <w:sz w:val="20"/>
                <w:szCs w:val="20"/>
                <w:color w:val="auto"/>
              </w:rPr>
            </w:pPr>
            <w:r>
              <w:rPr>
                <w:rFonts w:ascii="Arial" w:cs="Arial" w:eastAsia="Arial" w:hAnsi="Arial"/>
                <w:sz w:val="18"/>
                <w:szCs w:val="18"/>
                <w:color w:val="auto"/>
                <w:w w:val="91"/>
              </w:rPr>
              <w:t>5,16</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1,574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1,963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stockholders' equity</w:t>
            </w:r>
          </w:p>
        </w:tc>
        <w:tc>
          <w:tcPr>
            <w:tcW w:w="10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988,951</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1,042,812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04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6,560,758</w:t>
            </w:r>
          </w:p>
        </w:tc>
        <w:tc>
          <w:tcPr>
            <w:tcW w:w="2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6,267,747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ectPr>
          <w:pgSz w:w="11900" w:h="16838" w:orient="portrait"/>
          <w:cols w:equalWidth="0" w:num="1">
            <w:col w:w="11420"/>
          </w:cols>
          <w:pgMar w:left="240" w:top="900" w:right="239" w:bottom="32" w:gutter="0" w:footer="0" w:header="0"/>
        </w:sectPr>
      </w:pPr>
    </w:p>
    <w:bookmarkStart w:id="5" w:name="page6"/>
    <w:bookmarkEnd w:id="5"/>
    <w:p>
      <w:pPr>
        <w:jc w:val="center"/>
        <w:spacing w:after="0"/>
        <w:rPr>
          <w:sz w:val="20"/>
          <w:szCs w:val="20"/>
          <w:color w:val="auto"/>
        </w:rPr>
      </w:pPr>
      <w:r>
        <w:rPr>
          <w:rFonts w:ascii="Arial" w:cs="Arial" w:eastAsia="Arial" w:hAnsi="Arial"/>
          <w:sz w:val="17"/>
          <w:szCs w:val="17"/>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22225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9019"/>
          </w:cols>
          <w:pgMar w:left="1440" w:top="125" w:right="1440" w:bottom="1440" w:gutter="0" w:footer="0" w:header="0"/>
        </w:sectPr>
      </w:pPr>
    </w:p>
    <w:bookmarkStart w:id="6" w:name="page7"/>
    <w:bookmarkEnd w:id="6"/>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nine months ended September 30, 2018, 2017 and 2016</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earnings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700" w:type="dxa"/>
            <w:vAlign w:val="bottom"/>
            <w:gridSpan w:val="6"/>
          </w:tcPr>
          <w:p>
            <w:pPr>
              <w:jc w:val="center"/>
              <w:ind w:right="220"/>
              <w:spacing w:after="0"/>
              <w:rPr>
                <w:sz w:val="20"/>
                <w:szCs w:val="20"/>
                <w:color w:val="auto"/>
              </w:rPr>
            </w:pPr>
            <w:r>
              <w:rPr>
                <w:rFonts w:ascii="Arial" w:cs="Arial" w:eastAsia="Arial" w:hAnsi="Arial"/>
                <w:sz w:val="18"/>
                <w:szCs w:val="18"/>
                <w:b w:val="1"/>
                <w:bCs w:val="1"/>
                <w:color w:val="auto"/>
                <w:w w:val="89"/>
              </w:rPr>
              <w:t>For the three months ended</w:t>
            </w:r>
          </w:p>
        </w:tc>
        <w:tc>
          <w:tcPr>
            <w:tcW w:w="264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9"/>
              </w:rPr>
              <w:t>For the nine months ended</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tcPr>
          <w:p>
            <w:pPr>
              <w:spacing w:after="0"/>
              <w:rPr>
                <w:sz w:val="19"/>
                <w:szCs w:val="19"/>
                <w:color w:val="auto"/>
              </w:rPr>
            </w:pPr>
          </w:p>
        </w:tc>
        <w:tc>
          <w:tcPr>
            <w:tcW w:w="960" w:type="dxa"/>
            <w:vAlign w:val="bottom"/>
            <w:vMerge w:val="restart"/>
          </w:tcPr>
          <w:p>
            <w:pPr>
              <w:ind w:left="220"/>
              <w:spacing w:after="0"/>
              <w:rPr>
                <w:sz w:val="20"/>
                <w:szCs w:val="20"/>
                <w:color w:val="auto"/>
              </w:rPr>
            </w:pPr>
            <w:r>
              <w:rPr>
                <w:rFonts w:ascii="Arial" w:cs="Arial" w:eastAsia="Arial" w:hAnsi="Arial"/>
                <w:sz w:val="18"/>
                <w:szCs w:val="18"/>
                <w:b w:val="1"/>
                <w:bCs w:val="1"/>
                <w:color w:val="auto"/>
              </w:rPr>
              <w:t>Notes</w:t>
            </w:r>
          </w:p>
        </w:tc>
        <w:tc>
          <w:tcPr>
            <w:tcW w:w="1800" w:type="dxa"/>
            <w:vAlign w:val="bottom"/>
            <w:gridSpan w:val="4"/>
          </w:tcPr>
          <w:p>
            <w:pPr>
              <w:jc w:val="center"/>
              <w:ind w:left="610"/>
              <w:spacing w:after="0"/>
              <w:rPr>
                <w:sz w:val="20"/>
                <w:szCs w:val="20"/>
                <w:color w:val="auto"/>
              </w:rPr>
            </w:pPr>
            <w:r>
              <w:rPr>
                <w:rFonts w:ascii="Arial" w:cs="Arial" w:eastAsia="Arial" w:hAnsi="Arial"/>
                <w:sz w:val="18"/>
                <w:szCs w:val="18"/>
                <w:b w:val="1"/>
                <w:bCs w:val="1"/>
                <w:color w:val="auto"/>
                <w:w w:val="89"/>
              </w:rPr>
              <w:t>September 30,</w:t>
            </w: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1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9"/>
              </w:rPr>
              <w:t>September 30,</w:t>
            </w: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960" w:type="dxa"/>
            <w:vAlign w:val="bottom"/>
            <w:vMerge w:val="continue"/>
          </w:tcPr>
          <w:p>
            <w:pPr>
              <w:spacing w:after="0"/>
              <w:rPr>
                <w:sz w:val="20"/>
                <w:szCs w:val="20"/>
                <w:color w:val="auto"/>
              </w:rPr>
            </w:pPr>
          </w:p>
        </w:tc>
        <w:tc>
          <w:tcPr>
            <w:tcW w:w="7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Pr>
          <w:p>
            <w:pPr>
              <w:spacing w:after="0"/>
              <w:rPr>
                <w:sz w:val="20"/>
                <w:szCs w:val="20"/>
                <w:color w:val="auto"/>
              </w:rPr>
            </w:pPr>
          </w:p>
        </w:tc>
        <w:tc>
          <w:tcPr>
            <w:tcW w:w="6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7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00" w:type="dxa"/>
            <w:vAlign w:val="bottom"/>
          </w:tcPr>
          <w:p>
            <w:pPr>
              <w:spacing w:after="0"/>
              <w:rPr>
                <w:sz w:val="20"/>
                <w:szCs w:val="20"/>
                <w:color w:val="auto"/>
              </w:rPr>
            </w:pPr>
          </w:p>
        </w:tc>
        <w:tc>
          <w:tcPr>
            <w:tcW w:w="7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Deposits</w:t>
            </w:r>
          </w:p>
        </w:tc>
        <w:tc>
          <w:tcPr>
            <w:tcW w:w="96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3,129</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2,995</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1,142</w:t>
            </w:r>
          </w:p>
        </w:tc>
        <w:tc>
          <w:tcPr>
            <w:tcW w:w="700" w:type="dxa"/>
            <w:vAlign w:val="bottom"/>
          </w:tcPr>
          <w:p>
            <w:pPr>
              <w:jc w:val="right"/>
              <w:spacing w:after="0"/>
              <w:rPr>
                <w:sz w:val="20"/>
                <w:szCs w:val="20"/>
                <w:color w:val="auto"/>
              </w:rPr>
            </w:pPr>
            <w:r>
              <w:rPr>
                <w:rFonts w:ascii="Arial" w:cs="Arial" w:eastAsia="Arial" w:hAnsi="Arial"/>
                <w:sz w:val="18"/>
                <w:szCs w:val="18"/>
                <w:color w:val="auto"/>
              </w:rPr>
              <w:t>9,293</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7,818</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3,206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fair value through OCI</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124</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w:t>
            </w:r>
          </w:p>
        </w:tc>
        <w:tc>
          <w:tcPr>
            <w:tcW w:w="920" w:type="dxa"/>
            <w:vAlign w:val="bottom"/>
            <w:gridSpan w:val="2"/>
            <w:shd w:val="clear" w:color="auto" w:fill="CCEEFF"/>
          </w:tcPr>
          <w:p>
            <w:pPr>
              <w:jc w:val="right"/>
              <w:ind w:right="137"/>
              <w:spacing w:after="0"/>
              <w:rPr>
                <w:sz w:val="20"/>
                <w:szCs w:val="20"/>
                <w:color w:val="auto"/>
              </w:rPr>
            </w:pPr>
            <w:r>
              <w:rPr>
                <w:rFonts w:ascii="Arial" w:cs="Arial" w:eastAsia="Arial" w:hAnsi="Arial"/>
                <w:sz w:val="18"/>
                <w:szCs w:val="18"/>
                <w:color w:val="auto"/>
              </w:rPr>
              <w:t>416</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Securities at amortized cost</w:t>
            </w:r>
          </w:p>
        </w:tc>
        <w:tc>
          <w:tcPr>
            <w:tcW w:w="96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599</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474</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688</w:t>
            </w:r>
          </w:p>
        </w:tc>
        <w:tc>
          <w:tcPr>
            <w:tcW w:w="700" w:type="dxa"/>
            <w:vAlign w:val="bottom"/>
          </w:tcPr>
          <w:p>
            <w:pPr>
              <w:jc w:val="right"/>
              <w:spacing w:after="0"/>
              <w:rPr>
                <w:sz w:val="20"/>
                <w:szCs w:val="20"/>
                <w:color w:val="auto"/>
              </w:rPr>
            </w:pPr>
            <w:r>
              <w:rPr>
                <w:rFonts w:ascii="Arial" w:cs="Arial" w:eastAsia="Arial" w:hAnsi="Arial"/>
                <w:sz w:val="18"/>
                <w:szCs w:val="18"/>
                <w:color w:val="auto"/>
              </w:rPr>
              <w:t>1,605</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1,448</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2,261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96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61,142</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51,457</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60,530</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173,062</w:t>
            </w:r>
          </w:p>
        </w:tc>
        <w:tc>
          <w:tcPr>
            <w:tcW w:w="22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160,594</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177,025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income</w:t>
            </w:r>
          </w:p>
        </w:tc>
        <w:tc>
          <w:tcPr>
            <w:tcW w:w="96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65,020</w:t>
            </w:r>
          </w:p>
        </w:tc>
        <w:tc>
          <w:tcPr>
            <w:tcW w:w="220" w:type="dxa"/>
            <w:vAlign w:val="bottom"/>
            <w:tcBorders>
              <w:bottom w:val="single" w:sz="8" w:color="CCEEFF"/>
            </w:tcBorders>
          </w:tcPr>
          <w:p>
            <w:pPr>
              <w:spacing w:after="0"/>
              <w:rPr>
                <w:sz w:val="18"/>
                <w:szCs w:val="18"/>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55,050</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62,817</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184,376</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170,280</w:t>
            </w:r>
          </w:p>
        </w:tc>
        <w:tc>
          <w:tcPr>
            <w:tcW w:w="200" w:type="dxa"/>
            <w:vAlign w:val="bottom"/>
            <w:tcBorders>
              <w:bottom w:val="single" w:sz="8" w:color="CCEEFF"/>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184,448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expense:</w:t>
            </w: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Deposits</w:t>
            </w:r>
          </w:p>
        </w:tc>
        <w:tc>
          <w:tcPr>
            <w:tcW w:w="96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16,767</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12,510</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5,329</w:t>
            </w:r>
          </w:p>
        </w:tc>
        <w:tc>
          <w:tcPr>
            <w:tcW w:w="920" w:type="dxa"/>
            <w:vAlign w:val="bottom"/>
            <w:gridSpan w:val="2"/>
          </w:tcPr>
          <w:p>
            <w:pPr>
              <w:jc w:val="right"/>
              <w:ind w:right="137"/>
              <w:spacing w:after="0"/>
              <w:rPr>
                <w:sz w:val="20"/>
                <w:szCs w:val="20"/>
                <w:color w:val="auto"/>
              </w:rPr>
            </w:pPr>
            <w:r>
              <w:rPr>
                <w:rFonts w:ascii="Arial" w:cs="Arial" w:eastAsia="Arial" w:hAnsi="Arial"/>
                <w:sz w:val="18"/>
                <w:szCs w:val="18"/>
                <w:color w:val="auto"/>
              </w:rPr>
              <w:t>47,160</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30,310</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14,970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Short and long-term borrowings and debt</w:t>
            </w:r>
          </w:p>
        </w:tc>
        <w:tc>
          <w:tcPr>
            <w:tcW w:w="96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20,957</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14,643</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17,668</w:t>
            </w:r>
          </w:p>
        </w:tc>
        <w:tc>
          <w:tcPr>
            <w:tcW w:w="920" w:type="dxa"/>
            <w:vAlign w:val="bottom"/>
            <w:gridSpan w:val="2"/>
            <w:shd w:val="clear" w:color="auto" w:fill="CCEEFF"/>
          </w:tcPr>
          <w:p>
            <w:pPr>
              <w:jc w:val="right"/>
              <w:ind w:right="137"/>
              <w:spacing w:after="0"/>
              <w:rPr>
                <w:sz w:val="20"/>
                <w:szCs w:val="20"/>
                <w:color w:val="auto"/>
              </w:rPr>
            </w:pPr>
            <w:r>
              <w:rPr>
                <w:rFonts w:ascii="Arial" w:cs="Arial" w:eastAsia="Arial" w:hAnsi="Arial"/>
                <w:sz w:val="18"/>
                <w:szCs w:val="18"/>
                <w:color w:val="auto"/>
              </w:rPr>
              <w:t>55,441</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48,296</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51,954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96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37,724</w:t>
            </w:r>
          </w:p>
        </w:tc>
        <w:tc>
          <w:tcPr>
            <w:tcW w:w="220" w:type="dxa"/>
            <w:vAlign w:val="bottom"/>
            <w:tcBorders>
              <w:bottom w:val="single" w:sz="8" w:color="CCEEFF"/>
            </w:tcBorders>
          </w:tcPr>
          <w:p>
            <w:pPr>
              <w:spacing w:after="0"/>
              <w:rPr>
                <w:sz w:val="18"/>
                <w:szCs w:val="18"/>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27,153</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22,997</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102,601</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78,606</w:t>
            </w:r>
          </w:p>
        </w:tc>
        <w:tc>
          <w:tcPr>
            <w:tcW w:w="200" w:type="dxa"/>
            <w:vAlign w:val="bottom"/>
            <w:tcBorders>
              <w:bottom w:val="single" w:sz="8" w:color="CCEEFF"/>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66,924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960" w:type="dxa"/>
            <w:vAlign w:val="bottom"/>
          </w:tcPr>
          <w:p>
            <w:pPr>
              <w:spacing w:after="0"/>
              <w:rPr>
                <w:sz w:val="19"/>
                <w:szCs w:val="19"/>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27,296</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27,897</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39,820</w:t>
            </w:r>
          </w:p>
        </w:tc>
        <w:tc>
          <w:tcPr>
            <w:tcW w:w="920" w:type="dxa"/>
            <w:vAlign w:val="bottom"/>
            <w:gridSpan w:val="2"/>
          </w:tcPr>
          <w:p>
            <w:pPr>
              <w:jc w:val="right"/>
              <w:ind w:right="137"/>
              <w:spacing w:after="0"/>
              <w:rPr>
                <w:sz w:val="20"/>
                <w:szCs w:val="20"/>
                <w:color w:val="auto"/>
              </w:rPr>
            </w:pPr>
            <w:r>
              <w:rPr>
                <w:rFonts w:ascii="Arial" w:cs="Arial" w:eastAsia="Arial" w:hAnsi="Arial"/>
                <w:sz w:val="18"/>
                <w:szCs w:val="18"/>
                <w:color w:val="auto"/>
              </w:rPr>
              <w:t>81,775</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91,674</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117,524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3,692</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3,566</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3,371</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11,783</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11,848</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10,178</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tcPr>
          <w:p>
            <w:pPr>
              <w:ind w:left="160"/>
              <w:spacing w:after="0" w:line="201" w:lineRule="exact"/>
              <w:rPr>
                <w:sz w:val="20"/>
                <w:szCs w:val="20"/>
                <w:color w:val="auto"/>
              </w:rPr>
            </w:pPr>
            <w:r>
              <w:rPr>
                <w:rFonts w:ascii="Arial" w:cs="Arial" w:eastAsia="Arial" w:hAnsi="Arial"/>
                <w:sz w:val="18"/>
                <w:szCs w:val="18"/>
                <w:color w:val="auto"/>
              </w:rPr>
              <w:t>(Loss) gain on derivative financial instruments and foreign</w:t>
            </w:r>
          </w:p>
        </w:tc>
        <w:tc>
          <w:tcPr>
            <w:tcW w:w="9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currency exchange</w:t>
            </w:r>
          </w:p>
        </w:tc>
        <w:tc>
          <w:tcPr>
            <w:tcW w:w="960" w:type="dxa"/>
            <w:vAlign w:val="bottom"/>
          </w:tcPr>
          <w:p>
            <w:pPr>
              <w:spacing w:after="0"/>
              <w:rPr>
                <w:sz w:val="20"/>
                <w:szCs w:val="20"/>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(1,554)</w:t>
            </w: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(616)</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204</w:t>
            </w:r>
          </w:p>
        </w:tc>
        <w:tc>
          <w:tcPr>
            <w:tcW w:w="920" w:type="dxa"/>
            <w:vAlign w:val="bottom"/>
            <w:gridSpan w:val="2"/>
          </w:tcPr>
          <w:p>
            <w:pPr>
              <w:jc w:val="right"/>
              <w:ind w:right="77"/>
              <w:spacing w:after="0"/>
              <w:rPr>
                <w:sz w:val="20"/>
                <w:szCs w:val="20"/>
                <w:color w:val="auto"/>
              </w:rPr>
            </w:pPr>
            <w:r>
              <w:rPr>
                <w:rFonts w:ascii="Arial" w:cs="Arial" w:eastAsia="Arial" w:hAnsi="Arial"/>
                <w:sz w:val="18"/>
                <w:szCs w:val="18"/>
                <w:color w:val="auto"/>
              </w:rPr>
              <w:t>(404)</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(12)</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(135)</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6"/>
              </w:rPr>
              <w:t>Gain (loss) per financial instrument at fair value through profit or</w:t>
            </w:r>
          </w:p>
        </w:tc>
        <w:tc>
          <w:tcPr>
            <w:tcW w:w="9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loss</w:t>
            </w:r>
          </w:p>
        </w:tc>
        <w:tc>
          <w:tcPr>
            <w:tcW w:w="96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109</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(324)</w:t>
            </w:r>
          </w:p>
        </w:tc>
        <w:tc>
          <w:tcPr>
            <w:tcW w:w="920" w:type="dxa"/>
            <w:vAlign w:val="bottom"/>
            <w:gridSpan w:val="2"/>
            <w:shd w:val="clear" w:color="auto" w:fill="CCEEFF"/>
          </w:tcPr>
          <w:p>
            <w:pPr>
              <w:jc w:val="right"/>
              <w:ind w:right="77"/>
              <w:spacing w:after="0"/>
              <w:rPr>
                <w:sz w:val="20"/>
                <w:szCs w:val="20"/>
                <w:color w:val="auto"/>
              </w:rPr>
            </w:pPr>
            <w:r>
              <w:rPr>
                <w:rFonts w:ascii="Arial" w:cs="Arial" w:eastAsia="Arial" w:hAnsi="Arial"/>
                <w:sz w:val="18"/>
                <w:szCs w:val="18"/>
                <w:color w:val="auto"/>
              </w:rPr>
              <w:t>(233)</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(706)</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(4,091)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Gain (loss) on sale of securities at fair value through OCI</w:t>
            </w:r>
          </w:p>
        </w:tc>
        <w:tc>
          <w:tcPr>
            <w:tcW w:w="960" w:type="dxa"/>
            <w:vAlign w:val="bottom"/>
          </w:tcPr>
          <w:p>
            <w:pPr>
              <w:jc w:val="center"/>
              <w:spacing w:after="0"/>
              <w:rPr>
                <w:sz w:val="20"/>
                <w:szCs w:val="20"/>
                <w:color w:val="auto"/>
              </w:rPr>
            </w:pPr>
            <w:r>
              <w:rPr>
                <w:rFonts w:ascii="Arial" w:cs="Arial" w:eastAsia="Arial" w:hAnsi="Arial"/>
                <w:sz w:val="18"/>
                <w:szCs w:val="18"/>
                <w:color w:val="auto"/>
                <w:w w:val="79"/>
              </w:rPr>
              <w:t>5</w:t>
            </w: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80" w:type="dxa"/>
            <w:vAlign w:val="bottom"/>
          </w:tcPr>
          <w:p>
            <w:pPr>
              <w:jc w:val="right"/>
              <w:spacing w:after="0"/>
              <w:rPr>
                <w:sz w:val="20"/>
                <w:szCs w:val="20"/>
                <w:color w:val="auto"/>
              </w:rPr>
            </w:pPr>
            <w:r>
              <w:rPr>
                <w:rFonts w:ascii="Arial" w:cs="Arial" w:eastAsia="Arial" w:hAnsi="Arial"/>
                <w:sz w:val="18"/>
                <w:szCs w:val="18"/>
                <w:color w:val="auto"/>
              </w:rPr>
              <w:t>69</w:t>
            </w:r>
          </w:p>
        </w:tc>
        <w:tc>
          <w:tcPr>
            <w:tcW w:w="22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79</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(246)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Gain (loss) on sale of loans</w:t>
            </w:r>
          </w:p>
        </w:tc>
        <w:tc>
          <w:tcPr>
            <w:tcW w:w="9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5</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w:t>
            </w: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77"/>
              <w:spacing w:after="0"/>
              <w:rPr>
                <w:sz w:val="20"/>
                <w:szCs w:val="20"/>
                <w:color w:val="auto"/>
              </w:rPr>
            </w:pPr>
            <w:r>
              <w:rPr>
                <w:rFonts w:ascii="Arial" w:cs="Arial" w:eastAsia="Arial" w:hAnsi="Arial"/>
                <w:sz w:val="18"/>
                <w:szCs w:val="18"/>
                <w:color w:val="auto"/>
              </w:rPr>
              <w:t>(625)</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113</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w w:val="96"/>
              </w:rPr>
              <w:t>Loss on investment properties at fair value through profit or loss</w:t>
            </w:r>
          </w:p>
        </w:tc>
        <w:tc>
          <w:tcPr>
            <w:tcW w:w="96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(412)</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20" w:type="dxa"/>
            <w:vAlign w:val="bottom"/>
            <w:gridSpan w:val="2"/>
          </w:tcPr>
          <w:p>
            <w:pPr>
              <w:jc w:val="right"/>
              <w:ind w:right="77"/>
              <w:spacing w:after="0"/>
              <w:rPr>
                <w:sz w:val="20"/>
                <w:szCs w:val="20"/>
                <w:color w:val="auto"/>
              </w:rPr>
            </w:pPr>
            <w:r>
              <w:rPr>
                <w:rFonts w:ascii="Arial" w:cs="Arial" w:eastAsia="Arial" w:hAnsi="Arial"/>
                <w:sz w:val="18"/>
                <w:szCs w:val="18"/>
                <w:color w:val="auto"/>
              </w:rPr>
              <w:t>(1,560)</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net</w:t>
            </w:r>
          </w:p>
        </w:tc>
        <w:tc>
          <w:tcPr>
            <w:tcW w:w="96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564</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201</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1,209</w:t>
            </w:r>
          </w:p>
        </w:tc>
        <w:tc>
          <w:tcPr>
            <w:tcW w:w="22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1,057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Total other income, net</w:t>
            </w:r>
          </w:p>
        </w:tc>
        <w:tc>
          <w:tcPr>
            <w:tcW w:w="96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2,399</w:t>
            </w:r>
          </w:p>
        </w:tc>
        <w:tc>
          <w:tcPr>
            <w:tcW w:w="220" w:type="dxa"/>
            <w:vAlign w:val="bottom"/>
            <w:tcBorders>
              <w:bottom w:val="single" w:sz="8" w:color="CCEEFF"/>
            </w:tcBorders>
          </w:tcPr>
          <w:p>
            <w:pPr>
              <w:spacing w:after="0"/>
              <w:rPr>
                <w:sz w:val="18"/>
                <w:szCs w:val="18"/>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3,169</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3,557</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10,170</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12,132</w:t>
            </w:r>
          </w:p>
        </w:tc>
        <w:tc>
          <w:tcPr>
            <w:tcW w:w="200" w:type="dxa"/>
            <w:vAlign w:val="bottom"/>
            <w:tcBorders>
              <w:bottom w:val="single" w:sz="8" w:color="CCEEFF"/>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7,253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Total income</w:t>
            </w:r>
          </w:p>
        </w:tc>
        <w:tc>
          <w:tcPr>
            <w:tcW w:w="96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29,695</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31,066</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43,377</w:t>
            </w:r>
          </w:p>
        </w:tc>
        <w:tc>
          <w:tcPr>
            <w:tcW w:w="920" w:type="dxa"/>
            <w:vAlign w:val="bottom"/>
            <w:gridSpan w:val="2"/>
          </w:tcPr>
          <w:p>
            <w:pPr>
              <w:jc w:val="right"/>
              <w:ind w:right="137"/>
              <w:spacing w:after="0"/>
              <w:rPr>
                <w:sz w:val="20"/>
                <w:szCs w:val="20"/>
                <w:color w:val="auto"/>
              </w:rPr>
            </w:pPr>
            <w:r>
              <w:rPr>
                <w:rFonts w:ascii="Arial" w:cs="Arial" w:eastAsia="Arial" w:hAnsi="Arial"/>
                <w:sz w:val="18"/>
                <w:szCs w:val="18"/>
                <w:color w:val="auto"/>
              </w:rPr>
              <w:t>91,945</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103,806</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124,777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b w:val="1"/>
                <w:bCs w:val="1"/>
                <w:color w:val="auto"/>
              </w:rPr>
              <w:t>Expenses:</w:t>
            </w:r>
          </w:p>
        </w:tc>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Impairment loss from expected credit losses on loans</w:t>
            </w:r>
          </w:p>
        </w:tc>
        <w:tc>
          <w:tcPr>
            <w:tcW w:w="9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5</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53,568</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362</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5,077</w:t>
            </w:r>
          </w:p>
        </w:tc>
        <w:tc>
          <w:tcPr>
            <w:tcW w:w="920" w:type="dxa"/>
            <w:vAlign w:val="bottom"/>
            <w:gridSpan w:val="2"/>
            <w:shd w:val="clear" w:color="auto" w:fill="CCEEFF"/>
          </w:tcPr>
          <w:p>
            <w:pPr>
              <w:jc w:val="right"/>
              <w:ind w:right="137"/>
              <w:spacing w:after="0"/>
              <w:rPr>
                <w:sz w:val="20"/>
                <w:szCs w:val="20"/>
                <w:color w:val="auto"/>
              </w:rPr>
            </w:pPr>
            <w:r>
              <w:rPr>
                <w:rFonts w:ascii="Arial" w:cs="Arial" w:eastAsia="Arial" w:hAnsi="Arial"/>
                <w:sz w:val="18"/>
                <w:szCs w:val="18"/>
                <w:color w:val="auto"/>
              </w:rPr>
              <w:t>62,509</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9,981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17,186</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tcPr>
          <w:p>
            <w:pPr>
              <w:ind w:left="160"/>
              <w:spacing w:after="0" w:line="201" w:lineRule="exact"/>
              <w:rPr>
                <w:sz w:val="20"/>
                <w:szCs w:val="20"/>
                <w:color w:val="auto"/>
              </w:rPr>
            </w:pPr>
            <w:r>
              <w:rPr>
                <w:rFonts w:ascii="Arial" w:cs="Arial" w:eastAsia="Arial" w:hAnsi="Arial"/>
                <w:sz w:val="18"/>
                <w:szCs w:val="18"/>
                <w:color w:val="auto"/>
              </w:rPr>
              <w:t>Impairment loss (recovery) from expected credit losses on</w:t>
            </w:r>
          </w:p>
        </w:tc>
        <w:tc>
          <w:tcPr>
            <w:tcW w:w="9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investment securities</w:t>
            </w:r>
          </w:p>
        </w:tc>
        <w:tc>
          <w:tcPr>
            <w:tcW w:w="960" w:type="dxa"/>
            <w:vAlign w:val="bottom"/>
          </w:tcPr>
          <w:p>
            <w:pPr>
              <w:jc w:val="center"/>
              <w:spacing w:after="0"/>
              <w:rPr>
                <w:sz w:val="20"/>
                <w:szCs w:val="20"/>
                <w:color w:val="auto"/>
              </w:rPr>
            </w:pPr>
            <w:r>
              <w:rPr>
                <w:rFonts w:ascii="Arial" w:cs="Arial" w:eastAsia="Arial" w:hAnsi="Arial"/>
                <w:sz w:val="18"/>
                <w:szCs w:val="18"/>
                <w:color w:val="auto"/>
                <w:w w:val="79"/>
              </w:rPr>
              <w:t>5</w:t>
            </w: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75</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(210)</w:t>
            </w:r>
          </w:p>
        </w:tc>
        <w:tc>
          <w:tcPr>
            <w:tcW w:w="920" w:type="dxa"/>
            <w:vAlign w:val="bottom"/>
            <w:gridSpan w:val="2"/>
          </w:tcPr>
          <w:p>
            <w:pPr>
              <w:jc w:val="right"/>
              <w:ind w:right="77"/>
              <w:spacing w:after="0"/>
              <w:rPr>
                <w:sz w:val="20"/>
                <w:szCs w:val="20"/>
                <w:color w:val="auto"/>
              </w:rPr>
            </w:pPr>
            <w:r>
              <w:rPr>
                <w:rFonts w:ascii="Arial" w:cs="Arial" w:eastAsia="Arial" w:hAnsi="Arial"/>
                <w:sz w:val="18"/>
                <w:szCs w:val="18"/>
                <w:color w:val="auto"/>
              </w:rPr>
              <w:t>(47)</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(390)</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276</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0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8"/>
              </w:rPr>
              <w:t>Impairment loss (recovery) from expected credit losses on loan</w:t>
            </w:r>
          </w:p>
        </w:tc>
        <w:tc>
          <w:tcPr>
            <w:tcW w:w="9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commitments and financial guarantee contracts</w:t>
            </w:r>
          </w:p>
        </w:tc>
        <w:tc>
          <w:tcPr>
            <w:tcW w:w="9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5</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1,566</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215</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(725)</w:t>
            </w:r>
          </w:p>
        </w:tc>
        <w:tc>
          <w:tcPr>
            <w:tcW w:w="920" w:type="dxa"/>
            <w:vAlign w:val="bottom"/>
            <w:gridSpan w:val="2"/>
            <w:shd w:val="clear" w:color="auto" w:fill="CCEEFF"/>
          </w:tcPr>
          <w:p>
            <w:pPr>
              <w:jc w:val="right"/>
              <w:ind w:right="77"/>
              <w:spacing w:after="0"/>
              <w:rPr>
                <w:sz w:val="20"/>
                <w:szCs w:val="20"/>
                <w:color w:val="auto"/>
              </w:rPr>
            </w:pPr>
            <w:r>
              <w:rPr>
                <w:rFonts w:ascii="Arial" w:cs="Arial" w:eastAsia="Arial" w:hAnsi="Arial"/>
                <w:sz w:val="18"/>
                <w:szCs w:val="18"/>
                <w:color w:val="auto"/>
              </w:rPr>
              <w:t>(3,626)</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(946)</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Impairment loss in other assets</w:t>
            </w:r>
          </w:p>
        </w:tc>
        <w:tc>
          <w:tcPr>
            <w:tcW w:w="96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1,724</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3,464</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Loss on derecognition of intangible assets</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2,705</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2,705</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Salaries and other employee expenses</w:t>
            </w:r>
          </w:p>
        </w:tc>
        <w:tc>
          <w:tcPr>
            <w:tcW w:w="96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5,213</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5,842</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6,230</w:t>
            </w:r>
          </w:p>
        </w:tc>
        <w:tc>
          <w:tcPr>
            <w:tcW w:w="920" w:type="dxa"/>
            <w:vAlign w:val="bottom"/>
            <w:gridSpan w:val="2"/>
          </w:tcPr>
          <w:p>
            <w:pPr>
              <w:jc w:val="right"/>
              <w:ind w:right="137"/>
              <w:spacing w:after="0"/>
              <w:rPr>
                <w:sz w:val="20"/>
                <w:szCs w:val="20"/>
                <w:color w:val="auto"/>
              </w:rPr>
            </w:pPr>
            <w:r>
              <w:rPr>
                <w:rFonts w:ascii="Arial" w:cs="Arial" w:eastAsia="Arial" w:hAnsi="Arial"/>
                <w:sz w:val="18"/>
                <w:szCs w:val="18"/>
                <w:color w:val="auto"/>
              </w:rPr>
              <w:t>21,390</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20,306</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19,008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9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315</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384</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376</w:t>
            </w:r>
          </w:p>
        </w:tc>
        <w:tc>
          <w:tcPr>
            <w:tcW w:w="920" w:type="dxa"/>
            <w:vAlign w:val="bottom"/>
            <w:gridSpan w:val="2"/>
            <w:shd w:val="clear" w:color="auto" w:fill="CCEEFF"/>
          </w:tcPr>
          <w:p>
            <w:pPr>
              <w:jc w:val="right"/>
              <w:ind w:right="137"/>
              <w:spacing w:after="0"/>
              <w:rPr>
                <w:sz w:val="20"/>
                <w:szCs w:val="20"/>
                <w:color w:val="auto"/>
              </w:rPr>
            </w:pPr>
            <w:r>
              <w:rPr>
                <w:rFonts w:ascii="Arial" w:cs="Arial" w:eastAsia="Arial" w:hAnsi="Arial"/>
                <w:sz w:val="18"/>
                <w:szCs w:val="18"/>
                <w:color w:val="auto"/>
              </w:rPr>
              <w:t>957</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1,171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Amortization of intangible assets</w:t>
            </w:r>
          </w:p>
        </w:tc>
        <w:tc>
          <w:tcPr>
            <w:tcW w:w="96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336</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174</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222</w:t>
            </w:r>
          </w:p>
        </w:tc>
        <w:tc>
          <w:tcPr>
            <w:tcW w:w="920" w:type="dxa"/>
            <w:vAlign w:val="bottom"/>
            <w:gridSpan w:val="2"/>
          </w:tcPr>
          <w:p>
            <w:pPr>
              <w:jc w:val="right"/>
              <w:ind w:right="137"/>
              <w:spacing w:after="0"/>
              <w:rPr>
                <w:sz w:val="20"/>
                <w:szCs w:val="20"/>
                <w:color w:val="auto"/>
              </w:rPr>
            </w:pPr>
            <w:r>
              <w:rPr>
                <w:rFonts w:ascii="Arial" w:cs="Arial" w:eastAsia="Arial" w:hAnsi="Arial"/>
                <w:sz w:val="18"/>
                <w:szCs w:val="18"/>
                <w:color w:val="auto"/>
              </w:rPr>
              <w:t>1,011</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553</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425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96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4,987</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3,553</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4,416</w:t>
            </w:r>
          </w:p>
        </w:tc>
        <w:tc>
          <w:tcPr>
            <w:tcW w:w="920" w:type="dxa"/>
            <w:vAlign w:val="bottom"/>
            <w:gridSpan w:val="2"/>
            <w:shd w:val="clear" w:color="auto" w:fill="CCEEFF"/>
          </w:tcPr>
          <w:p>
            <w:pPr>
              <w:jc w:val="right"/>
              <w:ind w:right="137"/>
              <w:spacing w:after="0"/>
              <w:rPr>
                <w:sz w:val="20"/>
                <w:szCs w:val="20"/>
                <w:color w:val="auto"/>
              </w:rPr>
            </w:pPr>
            <w:r>
              <w:rPr>
                <w:rFonts w:ascii="Arial" w:cs="Arial" w:eastAsia="Arial" w:hAnsi="Arial"/>
                <w:sz w:val="18"/>
                <w:szCs w:val="18"/>
                <w:color w:val="auto"/>
              </w:rPr>
              <w:t>13,177</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11,731</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13,201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Total expenses</w:t>
            </w:r>
          </w:p>
        </w:tc>
        <w:tc>
          <w:tcPr>
            <w:tcW w:w="96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70,414</w:t>
            </w:r>
          </w:p>
        </w:tc>
        <w:tc>
          <w:tcPr>
            <w:tcW w:w="220" w:type="dxa"/>
            <w:vAlign w:val="bottom"/>
            <w:tcBorders>
              <w:bottom w:val="single" w:sz="8" w:color="CCEEFF"/>
            </w:tcBorders>
          </w:tcPr>
          <w:p>
            <w:pPr>
              <w:spacing w:after="0"/>
              <w:rPr>
                <w:sz w:val="18"/>
                <w:szCs w:val="18"/>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10,605</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15,386</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101,540</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42,406</w:t>
            </w:r>
          </w:p>
        </w:tc>
        <w:tc>
          <w:tcPr>
            <w:tcW w:w="200" w:type="dxa"/>
            <w:vAlign w:val="bottom"/>
            <w:tcBorders>
              <w:bottom w:val="single" w:sz="8" w:color="CCEEFF"/>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51,076</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(Loss) profit for the period</w:t>
            </w:r>
          </w:p>
        </w:tc>
        <w:tc>
          <w:tcPr>
            <w:tcW w:w="960" w:type="dxa"/>
            <w:vAlign w:val="bottom"/>
            <w:tcBorders>
              <w:bottom w:val="single" w:sz="8" w:color="CCEEFF"/>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(40,719</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20,461</w:t>
            </w:r>
          </w:p>
        </w:tc>
        <w:tc>
          <w:tcPr>
            <w:tcW w:w="220" w:type="dxa"/>
            <w:vAlign w:val="bottom"/>
            <w:tcBorders>
              <w:bottom w:val="single" w:sz="8" w:color="CCEEFF"/>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27,991</w:t>
            </w:r>
          </w:p>
        </w:tc>
        <w:tc>
          <w:tcPr>
            <w:tcW w:w="220" w:type="dxa"/>
            <w:vAlign w:val="bottom"/>
            <w:tcBorders>
              <w:bottom w:val="single" w:sz="8" w:color="CCEEFF"/>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(9,595</w:t>
            </w:r>
          </w:p>
        </w:tc>
        <w:tc>
          <w:tcPr>
            <w:tcW w:w="220" w:type="dxa"/>
            <w:vAlign w:val="bottom"/>
            <w:tcBorders>
              <w:bottom w:val="single" w:sz="8" w:color="CCEEFF"/>
            </w:tcBorders>
            <w:shd w:val="clear" w:color="auto" w:fill="CCEEFF"/>
          </w:tcPr>
          <w:p>
            <w:pPr>
              <w:jc w:val="right"/>
              <w:ind w:right="77"/>
              <w:spacing w:after="0"/>
              <w:rPr>
                <w:sz w:val="20"/>
                <w:szCs w:val="20"/>
                <w:color w:val="auto"/>
              </w:rPr>
            </w:pPr>
            <w:r>
              <w:rPr>
                <w:rFonts w:ascii="Arial" w:cs="Arial" w:eastAsia="Arial" w:hAnsi="Arial"/>
                <w:sz w:val="16"/>
                <w:szCs w:val="16"/>
                <w:color w:val="auto"/>
                <w:w w:val="74"/>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61,400</w:t>
            </w:r>
          </w:p>
        </w:tc>
        <w:tc>
          <w:tcPr>
            <w:tcW w:w="200" w:type="dxa"/>
            <w:vAlign w:val="bottom"/>
            <w:tcBorders>
              <w:bottom w:val="single" w:sz="8" w:color="CCEEFF"/>
            </w:tcBorders>
            <w:shd w:val="clear" w:color="auto" w:fill="CCEEFF"/>
          </w:tcPr>
          <w:p>
            <w:pPr>
              <w:spacing w:after="0"/>
              <w:rPr>
                <w:sz w:val="19"/>
                <w:szCs w:val="19"/>
                <w:color w:val="auto"/>
              </w:rPr>
            </w:pPr>
          </w:p>
        </w:tc>
        <w:tc>
          <w:tcPr>
            <w:tcW w:w="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73,701</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1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(Loss) earnings per share:</w:t>
            </w:r>
          </w:p>
        </w:tc>
        <w:tc>
          <w:tcPr>
            <w:tcW w:w="9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tcPr>
          <w:p>
            <w:pPr>
              <w:spacing w:after="0"/>
              <w:rPr>
                <w:sz w:val="24"/>
                <w:szCs w:val="24"/>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Basic</w:t>
            </w:r>
          </w:p>
        </w:tc>
        <w:tc>
          <w:tcPr>
            <w:tcW w:w="960" w:type="dxa"/>
            <w:vAlign w:val="bottom"/>
          </w:tcPr>
          <w:p>
            <w:pPr>
              <w:jc w:val="center"/>
              <w:ind w:right="10"/>
              <w:spacing w:after="0"/>
              <w:rPr>
                <w:sz w:val="20"/>
                <w:szCs w:val="20"/>
                <w:color w:val="auto"/>
              </w:rPr>
            </w:pPr>
            <w:r>
              <w:rPr>
                <w:rFonts w:ascii="Arial" w:cs="Arial" w:eastAsia="Arial" w:hAnsi="Arial"/>
                <w:sz w:val="18"/>
                <w:szCs w:val="18"/>
                <w:color w:val="auto"/>
                <w:w w:val="89"/>
              </w:rPr>
              <w:t>13</w:t>
            </w: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(1.03)</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0.52</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0.72</w:t>
            </w:r>
          </w:p>
        </w:tc>
        <w:tc>
          <w:tcPr>
            <w:tcW w:w="920" w:type="dxa"/>
            <w:vAlign w:val="bottom"/>
            <w:gridSpan w:val="2"/>
          </w:tcPr>
          <w:p>
            <w:pPr>
              <w:jc w:val="right"/>
              <w:ind w:right="77"/>
              <w:spacing w:after="0"/>
              <w:rPr>
                <w:sz w:val="20"/>
                <w:szCs w:val="20"/>
                <w:color w:val="auto"/>
              </w:rPr>
            </w:pPr>
            <w:r>
              <w:rPr>
                <w:rFonts w:ascii="Arial" w:cs="Arial" w:eastAsia="Arial" w:hAnsi="Arial"/>
                <w:sz w:val="18"/>
                <w:szCs w:val="18"/>
                <w:color w:val="auto"/>
              </w:rPr>
              <w:t>(0.24)</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1.56</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1.89</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0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Diluted</w:t>
            </w:r>
          </w:p>
        </w:tc>
        <w:tc>
          <w:tcPr>
            <w:tcW w:w="960" w:type="dxa"/>
            <w:vAlign w:val="bottom"/>
            <w:tcBorders>
              <w:top w:val="single" w:sz="8" w:color="CCEEFF"/>
              <w:bottom w:val="single" w:sz="8" w:color="CCEEFF"/>
            </w:tcBorders>
            <w:shd w:val="clear" w:color="auto" w:fill="CCEEFF"/>
          </w:tcPr>
          <w:p>
            <w:pPr>
              <w:jc w:val="center"/>
              <w:ind w:right="10"/>
              <w:spacing w:after="0" w:line="190" w:lineRule="exact"/>
              <w:rPr>
                <w:sz w:val="20"/>
                <w:szCs w:val="20"/>
                <w:color w:val="auto"/>
              </w:rPr>
            </w:pPr>
            <w:r>
              <w:rPr>
                <w:rFonts w:ascii="Arial" w:cs="Arial" w:eastAsia="Arial" w:hAnsi="Arial"/>
                <w:sz w:val="18"/>
                <w:szCs w:val="18"/>
                <w:color w:val="auto"/>
                <w:w w:val="89"/>
              </w:rPr>
              <w:t>13</w:t>
            </w:r>
          </w:p>
        </w:tc>
        <w:tc>
          <w:tcPr>
            <w:tcW w:w="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(1.03</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6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0.71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(0.24</w:t>
            </w:r>
          </w:p>
        </w:tc>
        <w:tc>
          <w:tcPr>
            <w:tcW w:w="220" w:type="dxa"/>
            <w:vAlign w:val="bottom"/>
            <w:tcBorders>
              <w:top w:val="single" w:sz="8" w:color="CCEEFF"/>
              <w:bottom w:val="single" w:sz="8" w:color="CCEEFF"/>
            </w:tcBorders>
            <w:shd w:val="clear" w:color="auto" w:fill="CCEEFF"/>
          </w:tcPr>
          <w:p>
            <w:pPr>
              <w:jc w:val="right"/>
              <w:ind w:right="77"/>
              <w:spacing w:after="0"/>
              <w:rPr>
                <w:sz w:val="20"/>
                <w:szCs w:val="20"/>
                <w:color w:val="auto"/>
              </w:rPr>
            </w:pPr>
            <w:r>
              <w:rPr>
                <w:rFonts w:ascii="Arial" w:cs="Arial" w:eastAsia="Arial" w:hAnsi="Arial"/>
                <w:sz w:val="16"/>
                <w:szCs w:val="16"/>
                <w:color w:val="auto"/>
                <w:w w:val="74"/>
              </w:rPr>
              <w:t>)</w:t>
            </w:r>
          </w:p>
        </w:tc>
        <w:tc>
          <w:tcPr>
            <w:tcW w:w="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1.56</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7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1.88</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rPr>
              <w:t>Weighted average basic shares</w:t>
            </w:r>
          </w:p>
        </w:tc>
        <w:tc>
          <w:tcPr>
            <w:tcW w:w="960" w:type="dxa"/>
            <w:vAlign w:val="bottom"/>
            <w:vMerge w:val="restart"/>
          </w:tcPr>
          <w:p>
            <w:pPr>
              <w:jc w:val="center"/>
              <w:ind w:right="10"/>
              <w:spacing w:after="0"/>
              <w:rPr>
                <w:sz w:val="20"/>
                <w:szCs w:val="20"/>
                <w:color w:val="auto"/>
              </w:rPr>
            </w:pPr>
            <w:r>
              <w:rPr>
                <w:rFonts w:ascii="Arial" w:cs="Arial" w:eastAsia="Arial" w:hAnsi="Arial"/>
                <w:sz w:val="18"/>
                <w:szCs w:val="18"/>
                <w:color w:val="auto"/>
                <w:w w:val="89"/>
              </w:rPr>
              <w:t>13</w:t>
            </w:r>
          </w:p>
        </w:tc>
        <w:tc>
          <w:tcPr>
            <w:tcW w:w="7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100" w:type="dxa"/>
            <w:vAlign w:val="bottom"/>
            <w:tcBorders>
              <w:bottom w:val="single" w:sz="8" w:color="CCEEFF"/>
            </w:tcBorders>
            <w:vMerge w:val="continue"/>
          </w:tcPr>
          <w:p>
            <w:pPr>
              <w:spacing w:after="0"/>
              <w:rPr>
                <w:sz w:val="20"/>
                <w:szCs w:val="20"/>
                <w:color w:val="auto"/>
              </w:rPr>
            </w:pPr>
          </w:p>
        </w:tc>
        <w:tc>
          <w:tcPr>
            <w:tcW w:w="96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39,540</w:t>
            </w:r>
          </w:p>
        </w:tc>
        <w:tc>
          <w:tcPr>
            <w:tcW w:w="220" w:type="dxa"/>
            <w:vAlign w:val="bottom"/>
            <w:tcBorders>
              <w:bottom w:val="single" w:sz="8" w:color="CCEEFF"/>
            </w:tcBorders>
            <w:vMerge w:val="continue"/>
          </w:tcPr>
          <w:p>
            <w:pPr>
              <w:spacing w:after="0"/>
              <w:rPr>
                <w:sz w:val="20"/>
                <w:szCs w:val="20"/>
                <w:color w:val="auto"/>
              </w:rPr>
            </w:pPr>
          </w:p>
        </w:tc>
        <w:tc>
          <w:tcPr>
            <w:tcW w:w="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39,362</w:t>
            </w:r>
          </w:p>
        </w:tc>
        <w:tc>
          <w:tcPr>
            <w:tcW w:w="220" w:type="dxa"/>
            <w:vAlign w:val="bottom"/>
            <w:tcBorders>
              <w:bottom w:val="single" w:sz="8" w:color="CCEEFF"/>
            </w:tcBorders>
            <w:vMerge w:val="continue"/>
          </w:tcPr>
          <w:p>
            <w:pPr>
              <w:spacing w:after="0"/>
              <w:rPr>
                <w:sz w:val="20"/>
                <w:szCs w:val="20"/>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39,102</w:t>
            </w:r>
          </w:p>
        </w:tc>
        <w:tc>
          <w:tcPr>
            <w:tcW w:w="22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39,544</w:t>
            </w:r>
          </w:p>
        </w:tc>
        <w:tc>
          <w:tcPr>
            <w:tcW w:w="22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39,289</w:t>
            </w:r>
          </w:p>
        </w:tc>
        <w:tc>
          <w:tcPr>
            <w:tcW w:w="200" w:type="dxa"/>
            <w:vAlign w:val="bottom"/>
            <w:tcBorders>
              <w:bottom w:val="single" w:sz="8" w:color="CCEEFF"/>
            </w:tcBorders>
            <w:vMerge w:val="continue"/>
          </w:tcPr>
          <w:p>
            <w:pPr>
              <w:spacing w:after="0"/>
              <w:rPr>
                <w:sz w:val="20"/>
                <w:szCs w:val="20"/>
                <w:color w:val="auto"/>
              </w:rPr>
            </w:pPr>
          </w:p>
        </w:tc>
        <w:tc>
          <w:tcPr>
            <w:tcW w:w="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39,059</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diluted shares</w:t>
            </w:r>
          </w:p>
        </w:tc>
        <w:tc>
          <w:tcPr>
            <w:tcW w:w="960" w:type="dxa"/>
            <w:vAlign w:val="bottom"/>
            <w:tcBorders>
              <w:bottom w:val="single" w:sz="8" w:color="CCEEFF"/>
            </w:tcBorders>
            <w:shd w:val="clear" w:color="auto" w:fill="CCEEFF"/>
          </w:tcPr>
          <w:p>
            <w:pPr>
              <w:jc w:val="center"/>
              <w:ind w:right="10"/>
              <w:spacing w:after="0" w:line="190" w:lineRule="exact"/>
              <w:rPr>
                <w:sz w:val="20"/>
                <w:szCs w:val="20"/>
                <w:color w:val="auto"/>
              </w:rPr>
            </w:pPr>
            <w:r>
              <w:rPr>
                <w:rFonts w:ascii="Arial" w:cs="Arial" w:eastAsia="Arial" w:hAnsi="Arial"/>
                <w:sz w:val="18"/>
                <w:szCs w:val="18"/>
                <w:color w:val="auto"/>
                <w:w w:val="89"/>
              </w:rPr>
              <w:t>13</w:t>
            </w: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39,540</w:t>
            </w:r>
          </w:p>
        </w:tc>
        <w:tc>
          <w:tcPr>
            <w:tcW w:w="220" w:type="dxa"/>
            <w:vAlign w:val="bottom"/>
            <w:tcBorders>
              <w:bottom w:val="single" w:sz="8" w:color="CCEEFF"/>
            </w:tcBorders>
            <w:shd w:val="clear" w:color="auto" w:fill="CCEEFF"/>
          </w:tcPr>
          <w:p>
            <w:pPr>
              <w:spacing w:after="0"/>
              <w:rPr>
                <w:sz w:val="17"/>
                <w:szCs w:val="17"/>
                <w:color w:val="auto"/>
              </w:rPr>
            </w:pPr>
          </w:p>
        </w:tc>
        <w:tc>
          <w:tcPr>
            <w:tcW w:w="6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39,413</w:t>
            </w:r>
          </w:p>
        </w:tc>
        <w:tc>
          <w:tcPr>
            <w:tcW w:w="220" w:type="dxa"/>
            <w:vAlign w:val="bottom"/>
            <w:tcBorders>
              <w:bottom w:val="single" w:sz="8" w:color="CCEEFF"/>
            </w:tcBorders>
            <w:shd w:val="clear" w:color="auto" w:fill="CCEEFF"/>
          </w:tcPr>
          <w:p>
            <w:pPr>
              <w:spacing w:after="0"/>
              <w:rPr>
                <w:sz w:val="17"/>
                <w:szCs w:val="17"/>
                <w:color w:val="auto"/>
              </w:rPr>
            </w:pPr>
          </w:p>
        </w:tc>
        <w:tc>
          <w:tcPr>
            <w:tcW w:w="6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39,225</w:t>
            </w:r>
          </w:p>
        </w:tc>
        <w:tc>
          <w:tcPr>
            <w:tcW w:w="220" w:type="dxa"/>
            <w:vAlign w:val="bottom"/>
            <w:tcBorders>
              <w:bottom w:val="single" w:sz="8" w:color="CCEEFF"/>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39,544</w:t>
            </w:r>
          </w:p>
        </w:tc>
        <w:tc>
          <w:tcPr>
            <w:tcW w:w="220" w:type="dxa"/>
            <w:vAlign w:val="bottom"/>
            <w:tcBorders>
              <w:bottom w:val="single" w:sz="8" w:color="CCEEFF"/>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39,319</w:t>
            </w:r>
          </w:p>
        </w:tc>
        <w:tc>
          <w:tcPr>
            <w:tcW w:w="20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39,178</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3" w:right="239" w:bottom="1440" w:gutter="0" w:footer="0" w:header="0"/>
        </w:sectPr>
      </w:pPr>
    </w:p>
    <w:bookmarkStart w:id="7" w:name="page8"/>
    <w:bookmarkEnd w:id="7"/>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34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three and nine months ended September 30, 2018, 2017 and 2016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3440" w:type="dxa"/>
            <w:vAlign w:val="bottom"/>
            <w:gridSpan w:val="7"/>
          </w:tcPr>
          <w:p>
            <w:pPr>
              <w:jc w:val="right"/>
              <w:ind w:right="760"/>
              <w:spacing w:after="0"/>
              <w:rPr>
                <w:sz w:val="20"/>
                <w:szCs w:val="20"/>
                <w:color w:val="auto"/>
              </w:rPr>
            </w:pPr>
            <w:r>
              <w:rPr>
                <w:rFonts w:ascii="Arial" w:cs="Arial" w:eastAsia="Arial" w:hAnsi="Arial"/>
                <w:sz w:val="18"/>
                <w:szCs w:val="18"/>
                <w:b w:val="1"/>
                <w:bCs w:val="1"/>
                <w:color w:val="auto"/>
              </w:rPr>
              <w:t>For the three months ended</w:t>
            </w:r>
          </w:p>
        </w:tc>
        <w:tc>
          <w:tcPr>
            <w:tcW w:w="3260" w:type="dxa"/>
            <w:vAlign w:val="bottom"/>
            <w:gridSpan w:val="7"/>
          </w:tcPr>
          <w:p>
            <w:pPr>
              <w:jc w:val="center"/>
              <w:ind w:right="120"/>
              <w:spacing w:after="0"/>
              <w:rPr>
                <w:sz w:val="20"/>
                <w:szCs w:val="20"/>
                <w:color w:val="auto"/>
              </w:rPr>
            </w:pPr>
            <w:r>
              <w:rPr>
                <w:rFonts w:ascii="Arial" w:cs="Arial" w:eastAsia="Arial" w:hAnsi="Arial"/>
                <w:sz w:val="18"/>
                <w:szCs w:val="18"/>
                <w:b w:val="1"/>
                <w:bCs w:val="1"/>
                <w:color w:val="auto"/>
                <w:w w:val="89"/>
              </w:rPr>
              <w:t>For the nine months ended</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96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0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0"/>
              </w:rPr>
              <w:t>September 30,</w:t>
            </w:r>
          </w:p>
        </w:tc>
        <w:tc>
          <w:tcPr>
            <w:tcW w:w="9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September 30,</w:t>
            </w:r>
          </w:p>
        </w:tc>
        <w:tc>
          <w:tcPr>
            <w:tcW w:w="9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960" w:type="dxa"/>
            <w:vAlign w:val="bottom"/>
          </w:tcPr>
          <w:p>
            <w:pPr>
              <w:spacing w:after="0"/>
              <w:rPr>
                <w:sz w:val="20"/>
                <w:szCs w:val="20"/>
                <w:color w:val="auto"/>
              </w:rPr>
            </w:pPr>
          </w:p>
        </w:tc>
        <w:tc>
          <w:tcPr>
            <w:tcW w:w="740" w:type="dxa"/>
            <w:vAlign w:val="bottom"/>
          </w:tcPr>
          <w:p>
            <w:pPr>
              <w:jc w:val="center"/>
              <w:spacing w:after="0"/>
              <w:rPr>
                <w:sz w:val="20"/>
                <w:szCs w:val="20"/>
                <w:color w:val="auto"/>
              </w:rPr>
            </w:pPr>
            <w:r>
              <w:rPr>
                <w:rFonts w:ascii="Arial" w:cs="Arial" w:eastAsia="Arial" w:hAnsi="Arial"/>
                <w:sz w:val="18"/>
                <w:szCs w:val="18"/>
                <w:b w:val="1"/>
                <w:bCs w:val="1"/>
                <w:color w:val="auto"/>
                <w:w w:val="83"/>
              </w:rPr>
              <w:t>Notes</w:t>
            </w:r>
          </w:p>
        </w:tc>
        <w:tc>
          <w:tcPr>
            <w:tcW w:w="940" w:type="dxa"/>
            <w:vAlign w:val="bottom"/>
          </w:tcPr>
          <w:p>
            <w:pPr>
              <w:jc w:val="right"/>
              <w:ind w:right="21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c>
          <w:tcPr>
            <w:tcW w:w="10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900" w:type="dxa"/>
            <w:vAlign w:val="bottom"/>
          </w:tcPr>
          <w:p>
            <w:pPr>
              <w:jc w:val="right"/>
              <w:ind w:right="17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c>
          <w:tcPr>
            <w:tcW w:w="1040" w:type="dxa"/>
            <w:vAlign w:val="bottom"/>
            <w:gridSpan w:val="2"/>
          </w:tcPr>
          <w:p>
            <w:pPr>
              <w:jc w:val="center"/>
              <w:ind w:left="30"/>
              <w:spacing w:after="0"/>
              <w:rPr>
                <w:sz w:val="20"/>
                <w:szCs w:val="20"/>
                <w:color w:val="auto"/>
              </w:rPr>
            </w:pPr>
            <w:r>
              <w:rPr>
                <w:rFonts w:ascii="Arial" w:cs="Arial" w:eastAsia="Arial" w:hAnsi="Arial"/>
                <w:sz w:val="18"/>
                <w:szCs w:val="18"/>
                <w:b w:val="1"/>
                <w:bCs w:val="1"/>
                <w:color w:val="auto"/>
                <w:w w:val="89"/>
              </w:rPr>
              <w:t>2017</w:t>
            </w:r>
          </w:p>
        </w:tc>
        <w:tc>
          <w:tcPr>
            <w:tcW w:w="200" w:type="dxa"/>
            <w:vAlign w:val="bottom"/>
          </w:tcPr>
          <w:p>
            <w:pPr>
              <w:spacing w:after="0"/>
              <w:rPr>
                <w:sz w:val="20"/>
                <w:szCs w:val="20"/>
                <w:color w:val="auto"/>
              </w:rPr>
            </w:pP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9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9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(Loss) profit for the period</w:t>
            </w:r>
          </w:p>
        </w:tc>
        <w:tc>
          <w:tcPr>
            <w:tcW w:w="7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(40,719)</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20,461</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27,991</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(9,595)</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61,400</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73,701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7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39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222222"/>
                <w:w w:val="92"/>
              </w:rPr>
              <w:t>Items that will not be reclassified subsequently to</w:t>
            </w:r>
          </w:p>
        </w:tc>
        <w:tc>
          <w:tcPr>
            <w:tcW w:w="74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b w:val="1"/>
                <w:bCs w:val="1"/>
                <w:color w:val="222222"/>
              </w:rPr>
              <w:t>profit and loss:</w:t>
            </w:r>
          </w:p>
        </w:tc>
        <w:tc>
          <w:tcPr>
            <w:tcW w:w="740" w:type="dxa"/>
            <w:vAlign w:val="bottom"/>
            <w:shd w:val="clear" w:color="auto" w:fill="CCEEFF"/>
          </w:tcPr>
          <w:p>
            <w:pPr>
              <w:spacing w:after="0"/>
              <w:rPr>
                <w:sz w:val="20"/>
                <w:szCs w:val="20"/>
                <w:color w:val="auto"/>
              </w:rPr>
            </w:pPr>
          </w:p>
        </w:tc>
        <w:tc>
          <w:tcPr>
            <w:tcW w:w="9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960" w:type="dxa"/>
            <w:vAlign w:val="bottom"/>
          </w:tcPr>
          <w:p>
            <w:pPr>
              <w:ind w:left="160"/>
              <w:spacing w:after="0" w:line="201" w:lineRule="exact"/>
              <w:rPr>
                <w:sz w:val="20"/>
                <w:szCs w:val="20"/>
                <w:color w:val="auto"/>
              </w:rPr>
            </w:pPr>
            <w:r>
              <w:rPr>
                <w:rFonts w:ascii="Arial" w:cs="Arial" w:eastAsia="Arial" w:hAnsi="Arial"/>
                <w:sz w:val="18"/>
                <w:szCs w:val="18"/>
                <w:color w:val="222222"/>
              </w:rPr>
              <w:t>Change in fair value for revaluation by equity</w:t>
            </w:r>
          </w:p>
        </w:tc>
        <w:tc>
          <w:tcPr>
            <w:tcW w:w="7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960" w:type="dxa"/>
            <w:vAlign w:val="bottom"/>
          </w:tcPr>
          <w:p>
            <w:pPr>
              <w:ind w:left="160"/>
              <w:spacing w:after="0"/>
              <w:rPr>
                <w:sz w:val="20"/>
                <w:szCs w:val="20"/>
                <w:color w:val="auto"/>
              </w:rPr>
            </w:pPr>
            <w:r>
              <w:rPr>
                <w:rFonts w:ascii="Arial" w:cs="Arial" w:eastAsia="Arial" w:hAnsi="Arial"/>
                <w:sz w:val="18"/>
                <w:szCs w:val="18"/>
                <w:color w:val="222222"/>
              </w:rPr>
              <w:t>instrument to FVOCI, net of hedging</w:t>
            </w:r>
          </w:p>
        </w:tc>
        <w:tc>
          <w:tcPr>
            <w:tcW w:w="74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866</w:t>
            </w:r>
          </w:p>
        </w:tc>
        <w:tc>
          <w:tcPr>
            <w:tcW w:w="13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(1,653)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9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3960" w:type="dxa"/>
            <w:vAlign w:val="bottom"/>
          </w:tcPr>
          <w:p>
            <w:pPr>
              <w:spacing w:after="0" w:line="198" w:lineRule="exact"/>
              <w:rPr>
                <w:sz w:val="20"/>
                <w:szCs w:val="20"/>
                <w:color w:val="auto"/>
              </w:rPr>
            </w:pPr>
            <w:r>
              <w:rPr>
                <w:rFonts w:ascii="Arial" w:cs="Arial" w:eastAsia="Arial" w:hAnsi="Arial"/>
                <w:sz w:val="18"/>
                <w:szCs w:val="18"/>
                <w:b w:val="1"/>
                <w:bCs w:val="1"/>
                <w:color w:val="auto"/>
                <w:w w:val="91"/>
              </w:rPr>
              <w:t>Items that are or may be reclassified subsequently</w:t>
            </w:r>
          </w:p>
        </w:tc>
        <w:tc>
          <w:tcPr>
            <w:tcW w:w="7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980" w:type="dxa"/>
            <w:vAlign w:val="bottom"/>
            <w:gridSpan w:val="2"/>
          </w:tcPr>
          <w:p>
            <w:pPr>
              <w:spacing w:after="0"/>
              <w:rPr>
                <w:sz w:val="20"/>
                <w:szCs w:val="20"/>
                <w:color w:val="auto"/>
              </w:rPr>
            </w:pPr>
            <w:r>
              <w:rPr>
                <w:rFonts w:ascii="Arial" w:cs="Arial" w:eastAsia="Arial" w:hAnsi="Arial"/>
                <w:sz w:val="18"/>
                <w:szCs w:val="18"/>
                <w:b w:val="1"/>
                <w:bCs w:val="1"/>
                <w:color w:val="auto"/>
              </w:rPr>
              <w:t>to profit and loss:</w:t>
            </w:r>
          </w:p>
        </w:tc>
        <w:tc>
          <w:tcPr>
            <w:tcW w:w="7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96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Change in fair value for debt instrument</w:t>
            </w:r>
          </w:p>
        </w:tc>
        <w:tc>
          <w:tcPr>
            <w:tcW w:w="74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revaluation, net of hedging</w:t>
            </w:r>
          </w:p>
        </w:tc>
        <w:tc>
          <w:tcPr>
            <w:tcW w:w="7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(2,304)</w:t>
            </w:r>
          </w:p>
        </w:tc>
        <w:tc>
          <w:tcPr>
            <w:tcW w:w="13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(759)</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6,017</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(2,221)</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123</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9,070</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960" w:type="dxa"/>
            <w:vAlign w:val="bottom"/>
          </w:tcPr>
          <w:p>
            <w:pPr>
              <w:ind w:left="160"/>
              <w:spacing w:after="0" w:line="201" w:lineRule="exact"/>
              <w:rPr>
                <w:sz w:val="20"/>
                <w:szCs w:val="20"/>
                <w:color w:val="auto"/>
              </w:rPr>
            </w:pPr>
            <w:r>
              <w:rPr>
                <w:rFonts w:ascii="Arial" w:cs="Arial" w:eastAsia="Arial" w:hAnsi="Arial"/>
                <w:sz w:val="18"/>
                <w:szCs w:val="18"/>
                <w:color w:val="auto"/>
              </w:rPr>
              <w:t>Reclasification adjustment for gains (losses)</w:t>
            </w:r>
          </w:p>
        </w:tc>
        <w:tc>
          <w:tcPr>
            <w:tcW w:w="7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960" w:type="dxa"/>
            <w:vAlign w:val="bottom"/>
          </w:tcPr>
          <w:p>
            <w:pPr>
              <w:ind w:left="160"/>
              <w:spacing w:after="0"/>
              <w:rPr>
                <w:sz w:val="20"/>
                <w:szCs w:val="20"/>
                <w:color w:val="auto"/>
              </w:rPr>
            </w:pPr>
            <w:r>
              <w:rPr>
                <w:rFonts w:ascii="Arial" w:cs="Arial" w:eastAsia="Arial" w:hAnsi="Arial"/>
                <w:sz w:val="18"/>
                <w:szCs w:val="18"/>
                <w:color w:val="auto"/>
              </w:rPr>
              <w:t>included in the loss or profit</w:t>
            </w:r>
          </w:p>
        </w:tc>
        <w:tc>
          <w:tcPr>
            <w:tcW w:w="74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940" w:type="dxa"/>
            <w:vAlign w:val="bottom"/>
          </w:tcPr>
          <w:p>
            <w:pPr>
              <w:jc w:val="right"/>
              <w:spacing w:after="0"/>
              <w:rPr>
                <w:sz w:val="20"/>
                <w:szCs w:val="20"/>
                <w:color w:val="auto"/>
              </w:rPr>
            </w:pPr>
            <w:r>
              <w:rPr>
                <w:rFonts w:ascii="Arial" w:cs="Arial" w:eastAsia="Arial" w:hAnsi="Arial"/>
                <w:sz w:val="18"/>
                <w:szCs w:val="18"/>
                <w:color w:val="auto"/>
              </w:rPr>
              <w:t>1,998</w:t>
            </w:r>
          </w:p>
        </w:tc>
        <w:tc>
          <w:tcPr>
            <w:tcW w:w="80" w:type="dxa"/>
            <w:vAlign w:val="bottom"/>
          </w:tcPr>
          <w:p>
            <w:pPr>
              <w:spacing w:after="0"/>
              <w:rPr>
                <w:sz w:val="20"/>
                <w:szCs w:val="20"/>
                <w:color w:val="auto"/>
              </w:rPr>
            </w:pPr>
          </w:p>
        </w:tc>
        <w:tc>
          <w:tcPr>
            <w:tcW w:w="1300" w:type="dxa"/>
            <w:vAlign w:val="bottom"/>
            <w:gridSpan w:val="3"/>
          </w:tcPr>
          <w:p>
            <w:pPr>
              <w:jc w:val="right"/>
              <w:ind w:right="220"/>
              <w:spacing w:after="0"/>
              <w:rPr>
                <w:sz w:val="20"/>
                <w:szCs w:val="20"/>
                <w:color w:val="auto"/>
              </w:rPr>
            </w:pPr>
            <w:r>
              <w:rPr>
                <w:rFonts w:ascii="Arial" w:cs="Arial" w:eastAsia="Arial" w:hAnsi="Arial"/>
                <w:sz w:val="18"/>
                <w:szCs w:val="18"/>
                <w:color w:val="auto"/>
              </w:rPr>
              <w:t>2,449</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(2,622)</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4,693</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935</w:t>
            </w: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(2,773)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96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Exchange difference in conversion of foreign</w:t>
            </w:r>
          </w:p>
        </w:tc>
        <w:tc>
          <w:tcPr>
            <w:tcW w:w="74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currency</w:t>
            </w:r>
          </w:p>
        </w:tc>
        <w:tc>
          <w:tcPr>
            <w:tcW w:w="74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(1,071)</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(1,208)</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9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comprehensive income (loss)</w:t>
            </w:r>
          </w:p>
        </w:tc>
        <w:tc>
          <w:tcPr>
            <w:tcW w:w="7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(511)</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1,690</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3,395</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(389)</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1,058</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6,297</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9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9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w w:val="99"/>
              </w:rPr>
              <w:t>Other comprehensive income (loss) for the period</w:t>
            </w:r>
          </w:p>
        </w:tc>
        <w:tc>
          <w:tcPr>
            <w:tcW w:w="74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(41,230)</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22,151</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31,386</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(9,984)</w:t>
            </w: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62,458</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79,998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960" w:type="dxa"/>
            <w:vAlign w:val="bottom"/>
            <w:tcBorders>
              <w:top w:val="single" w:sz="8" w:color="CCEEFF"/>
            </w:tcBorders>
          </w:tcPr>
          <w:p>
            <w:pPr>
              <w:spacing w:after="0" w:line="20" w:lineRule="exact"/>
              <w:rPr>
                <w:sz w:val="1"/>
                <w:szCs w:val="1"/>
                <w:color w:val="auto"/>
              </w:rPr>
            </w:pPr>
          </w:p>
        </w:tc>
        <w:tc>
          <w:tcPr>
            <w:tcW w:w="74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3" w:right="239" w:bottom="1440" w:gutter="0" w:footer="0" w:header="0"/>
        </w:sectPr>
      </w:pPr>
    </w:p>
    <w:bookmarkStart w:id="8" w:name="page9"/>
    <w:bookmarkEnd w:id="8"/>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456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stockholders's equity For the nine months ended September 30, 2018, 2017 and 2016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26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4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94"/>
              </w:rPr>
              <w:t>Additional paid-</w:t>
            </w:r>
          </w:p>
        </w:tc>
        <w:tc>
          <w:tcPr>
            <w:tcW w:w="10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80" w:type="dxa"/>
            <w:vAlign w:val="bottom"/>
            <w:gridSpan w:val="2"/>
            <w:vMerge w:val="restart"/>
          </w:tcPr>
          <w:p>
            <w:pPr>
              <w:jc w:val="center"/>
              <w:ind w:right="108"/>
              <w:spacing w:after="0"/>
              <w:rPr>
                <w:sz w:val="20"/>
                <w:szCs w:val="20"/>
                <w:color w:val="auto"/>
              </w:rPr>
            </w:pPr>
            <w:r>
              <w:rPr>
                <w:rFonts w:ascii="Arial" w:cs="Arial" w:eastAsia="Arial" w:hAnsi="Arial"/>
                <w:sz w:val="14"/>
                <w:szCs w:val="14"/>
                <w:b w:val="1"/>
                <w:bCs w:val="1"/>
                <w:color w:val="auto"/>
                <w:w w:val="93"/>
              </w:rPr>
              <w:t>Accumulated</w:t>
            </w:r>
          </w:p>
        </w:tc>
        <w:tc>
          <w:tcPr>
            <w:tcW w:w="6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4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3"/>
              </w:rPr>
              <w:t>in capital in</w:t>
            </w:r>
          </w:p>
        </w:tc>
        <w:tc>
          <w:tcPr>
            <w:tcW w:w="10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4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85"/>
              </w:rPr>
              <w:t>excess of assigned</w:t>
            </w:r>
          </w:p>
        </w:tc>
        <w:tc>
          <w:tcPr>
            <w:tcW w:w="10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4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Dynamic</w:t>
            </w:r>
          </w:p>
        </w:tc>
        <w:tc>
          <w:tcPr>
            <w:tcW w:w="840" w:type="dxa"/>
            <w:vAlign w:val="bottom"/>
            <w:gridSpan w:val="2"/>
            <w:vMerge w:val="restart"/>
          </w:tcPr>
          <w:p>
            <w:pPr>
              <w:jc w:val="right"/>
              <w:ind w:right="160"/>
              <w:spacing w:after="0"/>
              <w:rPr>
                <w:sz w:val="20"/>
                <w:szCs w:val="20"/>
                <w:color w:val="auto"/>
              </w:rPr>
            </w:pPr>
            <w:r>
              <w:rPr>
                <w:rFonts w:ascii="Arial" w:cs="Arial" w:eastAsia="Arial" w:hAnsi="Arial"/>
                <w:sz w:val="14"/>
                <w:szCs w:val="14"/>
                <w:b w:val="1"/>
                <w:bCs w:val="1"/>
                <w:color w:val="auto"/>
                <w:w w:val="90"/>
              </w:rPr>
              <w:t>Regulatory</w:t>
            </w:r>
          </w:p>
        </w:tc>
        <w:tc>
          <w:tcPr>
            <w:tcW w:w="700" w:type="dxa"/>
            <w:vAlign w:val="bottom"/>
            <w:gridSpan w:val="2"/>
            <w:vMerge w:val="restart"/>
          </w:tcPr>
          <w:p>
            <w:pPr>
              <w:jc w:val="right"/>
              <w:ind w:right="120"/>
              <w:spacing w:after="0"/>
              <w:rPr>
                <w:sz w:val="20"/>
                <w:szCs w:val="20"/>
                <w:color w:val="auto"/>
              </w:rPr>
            </w:pPr>
            <w:r>
              <w:rPr>
                <w:rFonts w:ascii="Arial" w:cs="Arial" w:eastAsia="Arial" w:hAnsi="Arial"/>
                <w:sz w:val="14"/>
                <w:szCs w:val="14"/>
                <w:b w:val="1"/>
                <w:bCs w:val="1"/>
                <w:color w:val="auto"/>
                <w:w w:val="94"/>
              </w:rPr>
              <w:t>Retained</w:t>
            </w:r>
          </w:p>
        </w:tc>
        <w:tc>
          <w:tcPr>
            <w:tcW w:w="60" w:type="dxa"/>
            <w:vAlign w:val="bottom"/>
          </w:tcPr>
          <w:p>
            <w:pPr>
              <w:spacing w:after="0"/>
              <w:rPr>
                <w:sz w:val="12"/>
                <w:szCs w:val="12"/>
                <w:color w:val="auto"/>
              </w:rPr>
            </w:pPr>
          </w:p>
        </w:tc>
        <w:tc>
          <w:tcPr>
            <w:tcW w:w="1080" w:type="dxa"/>
            <w:vAlign w:val="bottom"/>
            <w:gridSpan w:val="2"/>
          </w:tcPr>
          <w:p>
            <w:pPr>
              <w:jc w:val="center"/>
              <w:ind w:right="88"/>
              <w:spacing w:after="0" w:line="149" w:lineRule="exact"/>
              <w:rPr>
                <w:sz w:val="20"/>
                <w:szCs w:val="20"/>
                <w:color w:val="auto"/>
              </w:rPr>
            </w:pPr>
            <w:r>
              <w:rPr>
                <w:rFonts w:ascii="Arial" w:cs="Arial" w:eastAsia="Arial" w:hAnsi="Arial"/>
                <w:sz w:val="14"/>
                <w:szCs w:val="14"/>
                <w:b w:val="1"/>
                <w:bCs w:val="1"/>
                <w:color w:val="auto"/>
                <w:w w:val="91"/>
              </w:rPr>
              <w:t>other</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108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Common stock</w:t>
            </w:r>
          </w:p>
        </w:tc>
        <w:tc>
          <w:tcPr>
            <w:tcW w:w="1060" w:type="dxa"/>
            <w:vAlign w:val="bottom"/>
            <w:gridSpan w:val="2"/>
            <w:vMerge w:val="restart"/>
          </w:tcPr>
          <w:p>
            <w:pPr>
              <w:jc w:val="right"/>
              <w:ind w:right="119"/>
              <w:spacing w:after="0"/>
              <w:rPr>
                <w:sz w:val="20"/>
                <w:szCs w:val="20"/>
                <w:color w:val="auto"/>
              </w:rPr>
            </w:pPr>
            <w:r>
              <w:rPr>
                <w:rFonts w:ascii="Arial" w:cs="Arial" w:eastAsia="Arial" w:hAnsi="Arial"/>
                <w:sz w:val="14"/>
                <w:szCs w:val="14"/>
                <w:b w:val="1"/>
                <w:bCs w:val="1"/>
                <w:color w:val="auto"/>
                <w:w w:val="88"/>
              </w:rPr>
              <w:t>Treasury stock</w:t>
            </w:r>
          </w:p>
        </w:tc>
        <w:tc>
          <w:tcPr>
            <w:tcW w:w="124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0"/>
              </w:rPr>
              <w:t>value of common</w:t>
            </w:r>
          </w:p>
        </w:tc>
        <w:tc>
          <w:tcPr>
            <w:tcW w:w="11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Capital reserves</w:t>
            </w:r>
          </w:p>
        </w:tc>
        <w:tc>
          <w:tcPr>
            <w:tcW w:w="740" w:type="dxa"/>
            <w:vAlign w:val="bottom"/>
            <w:gridSpan w:val="2"/>
            <w:vMerge w:val="continue"/>
          </w:tcPr>
          <w:p>
            <w:pPr>
              <w:spacing w:after="0"/>
              <w:rPr>
                <w:sz w:val="12"/>
                <w:szCs w:val="12"/>
                <w:color w:val="auto"/>
              </w:rPr>
            </w:pPr>
          </w:p>
        </w:tc>
        <w:tc>
          <w:tcPr>
            <w:tcW w:w="840" w:type="dxa"/>
            <w:vAlign w:val="bottom"/>
            <w:gridSpan w:val="2"/>
            <w:vMerge w:val="continue"/>
          </w:tcPr>
          <w:p>
            <w:pPr>
              <w:spacing w:after="0"/>
              <w:rPr>
                <w:sz w:val="12"/>
                <w:szCs w:val="12"/>
                <w:color w:val="auto"/>
              </w:rPr>
            </w:pPr>
          </w:p>
        </w:tc>
        <w:tc>
          <w:tcPr>
            <w:tcW w:w="700" w:type="dxa"/>
            <w:vAlign w:val="bottom"/>
            <w:gridSpan w:val="2"/>
            <w:vMerge w:val="continue"/>
          </w:tcPr>
          <w:p>
            <w:pPr>
              <w:spacing w:after="0"/>
              <w:rPr>
                <w:sz w:val="12"/>
                <w:szCs w:val="12"/>
                <w:color w:val="auto"/>
              </w:rPr>
            </w:pPr>
          </w:p>
        </w:tc>
        <w:tc>
          <w:tcPr>
            <w:tcW w:w="1140" w:type="dxa"/>
            <w:vAlign w:val="bottom"/>
            <w:gridSpan w:val="3"/>
          </w:tcPr>
          <w:p>
            <w:pPr>
              <w:jc w:val="center"/>
              <w:ind w:right="28"/>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76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2680" w:type="dxa"/>
            <w:vAlign w:val="bottom"/>
          </w:tcPr>
          <w:p>
            <w:pPr>
              <w:spacing w:after="0"/>
              <w:rPr>
                <w:sz w:val="14"/>
                <w:szCs w:val="14"/>
                <w:color w:val="auto"/>
              </w:rPr>
            </w:pPr>
          </w:p>
        </w:tc>
        <w:tc>
          <w:tcPr>
            <w:tcW w:w="1080" w:type="dxa"/>
            <w:vAlign w:val="bottom"/>
            <w:gridSpan w:val="2"/>
            <w:vMerge w:val="continue"/>
          </w:tcPr>
          <w:p>
            <w:pPr>
              <w:spacing w:after="0"/>
              <w:rPr>
                <w:sz w:val="14"/>
                <w:szCs w:val="14"/>
                <w:color w:val="auto"/>
              </w:rPr>
            </w:pPr>
          </w:p>
        </w:tc>
        <w:tc>
          <w:tcPr>
            <w:tcW w:w="1060" w:type="dxa"/>
            <w:vAlign w:val="bottom"/>
            <w:gridSpan w:val="2"/>
            <w:vMerge w:val="continue"/>
          </w:tcPr>
          <w:p>
            <w:pPr>
              <w:spacing w:after="0"/>
              <w:rPr>
                <w:sz w:val="14"/>
                <w:szCs w:val="14"/>
                <w:color w:val="auto"/>
              </w:rPr>
            </w:pPr>
          </w:p>
        </w:tc>
        <w:tc>
          <w:tcPr>
            <w:tcW w:w="124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87"/>
              </w:rPr>
              <w:t>stock</w:t>
            </w:r>
          </w:p>
        </w:tc>
        <w:tc>
          <w:tcPr>
            <w:tcW w:w="1160" w:type="dxa"/>
            <w:vAlign w:val="bottom"/>
            <w:gridSpan w:val="2"/>
            <w:vMerge w:val="continue"/>
          </w:tcPr>
          <w:p>
            <w:pPr>
              <w:spacing w:after="0"/>
              <w:rPr>
                <w:sz w:val="14"/>
                <w:szCs w:val="14"/>
                <w:color w:val="auto"/>
              </w:rPr>
            </w:pPr>
          </w:p>
        </w:tc>
        <w:tc>
          <w:tcPr>
            <w:tcW w:w="740" w:type="dxa"/>
            <w:vAlign w:val="bottom"/>
            <w:gridSpan w:val="2"/>
          </w:tcPr>
          <w:p>
            <w:pPr>
              <w:spacing w:after="0"/>
              <w:rPr>
                <w:sz w:val="20"/>
                <w:szCs w:val="20"/>
                <w:color w:val="auto"/>
              </w:rPr>
            </w:pPr>
            <w:r>
              <w:rPr>
                <w:rFonts w:ascii="Arial" w:cs="Arial" w:eastAsia="Arial" w:hAnsi="Arial"/>
                <w:sz w:val="14"/>
                <w:szCs w:val="14"/>
                <w:b w:val="1"/>
                <w:bCs w:val="1"/>
                <w:color w:val="auto"/>
              </w:rPr>
              <w:t>provision</w:t>
            </w:r>
          </w:p>
        </w:tc>
        <w:tc>
          <w:tcPr>
            <w:tcW w:w="840" w:type="dxa"/>
            <w:vAlign w:val="bottom"/>
            <w:gridSpan w:val="2"/>
          </w:tcPr>
          <w:p>
            <w:pPr>
              <w:jc w:val="right"/>
              <w:ind w:right="280"/>
              <w:spacing w:after="0"/>
              <w:rPr>
                <w:sz w:val="20"/>
                <w:szCs w:val="20"/>
                <w:color w:val="auto"/>
              </w:rPr>
            </w:pPr>
            <w:r>
              <w:rPr>
                <w:rFonts w:ascii="Arial" w:cs="Arial" w:eastAsia="Arial" w:hAnsi="Arial"/>
                <w:sz w:val="14"/>
                <w:szCs w:val="14"/>
                <w:b w:val="1"/>
                <w:bCs w:val="1"/>
                <w:color w:val="auto"/>
              </w:rPr>
              <w:t>reserve</w:t>
            </w:r>
          </w:p>
        </w:tc>
        <w:tc>
          <w:tcPr>
            <w:tcW w:w="700" w:type="dxa"/>
            <w:vAlign w:val="bottom"/>
            <w:gridSpan w:val="2"/>
          </w:tcPr>
          <w:p>
            <w:pPr>
              <w:jc w:val="right"/>
              <w:ind w:right="140"/>
              <w:spacing w:after="0"/>
              <w:rPr>
                <w:sz w:val="20"/>
                <w:szCs w:val="20"/>
                <w:color w:val="auto"/>
              </w:rPr>
            </w:pPr>
            <w:r>
              <w:rPr>
                <w:rFonts w:ascii="Arial" w:cs="Arial" w:eastAsia="Arial" w:hAnsi="Arial"/>
                <w:sz w:val="14"/>
                <w:szCs w:val="14"/>
                <w:b w:val="1"/>
                <w:bCs w:val="1"/>
                <w:color w:val="auto"/>
                <w:w w:val="92"/>
              </w:rPr>
              <w:t>earnings</w:t>
            </w:r>
          </w:p>
        </w:tc>
        <w:tc>
          <w:tcPr>
            <w:tcW w:w="60" w:type="dxa"/>
            <w:vAlign w:val="bottom"/>
          </w:tcPr>
          <w:p>
            <w:pPr>
              <w:spacing w:after="0"/>
              <w:rPr>
                <w:sz w:val="14"/>
                <w:szCs w:val="14"/>
                <w:color w:val="auto"/>
              </w:rPr>
            </w:pPr>
          </w:p>
        </w:tc>
        <w:tc>
          <w:tcPr>
            <w:tcW w:w="1080" w:type="dxa"/>
            <w:vAlign w:val="bottom"/>
            <w:gridSpan w:val="2"/>
          </w:tcPr>
          <w:p>
            <w:pPr>
              <w:jc w:val="center"/>
              <w:ind w:right="88"/>
              <w:spacing w:after="0"/>
              <w:rPr>
                <w:sz w:val="20"/>
                <w:szCs w:val="20"/>
                <w:color w:val="auto"/>
              </w:rPr>
            </w:pPr>
            <w:r>
              <w:rPr>
                <w:rFonts w:ascii="Arial" w:cs="Arial" w:eastAsia="Arial" w:hAnsi="Arial"/>
                <w:sz w:val="14"/>
                <w:szCs w:val="14"/>
                <w:b w:val="1"/>
                <w:bCs w:val="1"/>
                <w:color w:val="auto"/>
                <w:w w:val="88"/>
              </w:rPr>
              <w:t>income (loss)</w:t>
            </w:r>
          </w:p>
        </w:tc>
        <w:tc>
          <w:tcPr>
            <w:tcW w:w="76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January 1, 2016</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(73,397)</w:t>
            </w:r>
          </w:p>
        </w:tc>
        <w:tc>
          <w:tcPr>
            <w:tcW w:w="16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120,177</w:t>
            </w:r>
          </w:p>
        </w:tc>
        <w:tc>
          <w:tcPr>
            <w:tcW w:w="16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16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30,788</w:t>
            </w:r>
          </w:p>
        </w:tc>
        <w:tc>
          <w:tcPr>
            <w:tcW w:w="1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7,920</w:t>
            </w:r>
          </w:p>
        </w:tc>
        <w:tc>
          <w:tcPr>
            <w:tcW w:w="16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521,934</w:t>
            </w: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(10,681)</w:t>
            </w:r>
          </w:p>
        </w:tc>
        <w:tc>
          <w:tcPr>
            <w:tcW w:w="18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971,931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73,701</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73,701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6,297</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6,297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1,259</w:t>
            </w:r>
          </w:p>
        </w:tc>
        <w:tc>
          <w:tcPr>
            <w:tcW w:w="12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(1,259)</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Compensation cost - stock options and stock</w:t>
            </w: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2,480</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2,480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2,953</w:t>
            </w:r>
          </w:p>
        </w:tc>
        <w:tc>
          <w:tcPr>
            <w:tcW w:w="12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(1,387)</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2,203</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3,769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Dymanic provision</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(10,244)</w:t>
            </w:r>
          </w:p>
        </w:tc>
        <w:tc>
          <w:tcPr>
            <w:tcW w:w="1140" w:type="dxa"/>
            <w:vAlign w:val="bottom"/>
            <w:gridSpan w:val="3"/>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(10,244)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680" w:type="dxa"/>
            <w:vAlign w:val="bottom"/>
          </w:tcPr>
          <w:p>
            <w:pPr>
              <w:spacing w:after="0"/>
              <w:rPr>
                <w:sz w:val="20"/>
                <w:szCs w:val="20"/>
                <w:color w:val="auto"/>
              </w:rPr>
            </w:pPr>
            <w:r>
              <w:rPr>
                <w:rFonts w:ascii="Arial" w:cs="Arial" w:eastAsia="Arial" w:hAnsi="Arial"/>
                <w:sz w:val="14"/>
                <w:szCs w:val="14"/>
                <w:color w:val="auto"/>
              </w:rPr>
              <w:t>Dividends declared</w:t>
            </w:r>
          </w:p>
        </w:tc>
        <w:tc>
          <w:tcPr>
            <w:tcW w:w="108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160" w:type="dxa"/>
            <w:vAlign w:val="bottom"/>
          </w:tcPr>
          <w:p>
            <w:pPr>
              <w:spacing w:after="0"/>
              <w:rPr>
                <w:sz w:val="14"/>
                <w:szCs w:val="14"/>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(45,104)</w:t>
            </w:r>
          </w:p>
        </w:tc>
        <w:tc>
          <w:tcPr>
            <w:tcW w:w="1140" w:type="dxa"/>
            <w:vAlign w:val="bottom"/>
            <w:gridSpan w:val="3"/>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4"/>
                <w:szCs w:val="14"/>
                <w:color w:val="auto"/>
              </w:rPr>
              <w:t>(45,104)</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September 30, 2016</w:t>
            </w: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(69,185</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120,011</w:t>
            </w:r>
          </w:p>
        </w:tc>
        <w:tc>
          <w:tcPr>
            <w:tcW w:w="16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16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30,788</w:t>
            </w:r>
          </w:p>
        </w:tc>
        <w:tc>
          <w:tcPr>
            <w:tcW w:w="1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7,920</w:t>
            </w:r>
          </w:p>
        </w:tc>
        <w:tc>
          <w:tcPr>
            <w:tcW w:w="16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542,490</w:t>
            </w: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(4,384</w:t>
            </w:r>
          </w:p>
        </w:tc>
        <w:tc>
          <w:tcPr>
            <w:tcW w:w="180" w:type="dxa"/>
            <w:vAlign w:val="bottom"/>
            <w:tcBorders>
              <w:top w:val="single" w:sz="8" w:color="CCEEFF"/>
            </w:tcBorders>
            <w:shd w:val="clear" w:color="auto" w:fill="CCEEFF"/>
          </w:tcPr>
          <w:p>
            <w:pPr>
              <w:jc w:val="right"/>
              <w:ind w:right="48"/>
              <w:spacing w:after="0" w:line="142" w:lineRule="exact"/>
              <w:rPr>
                <w:sz w:val="20"/>
                <w:szCs w:val="20"/>
                <w:color w:val="auto"/>
              </w:rPr>
            </w:pPr>
            <w:r>
              <w:rPr>
                <w:rFonts w:ascii="Arial" w:cs="Arial" w:eastAsia="Arial" w:hAnsi="Arial"/>
                <w:sz w:val="14"/>
                <w:szCs w:val="14"/>
                <w:color w:val="auto"/>
                <w:w w:val="84"/>
              </w:rPr>
              <w:t>)</w:t>
            </w: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1,002,829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2017</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279,980</w:t>
            </w:r>
          </w:p>
        </w:tc>
        <w:tc>
          <w:tcPr>
            <w:tcW w:w="106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(69,176)</w:t>
            </w: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120,594</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95,210</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43,826</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18,633</w:t>
            </w: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525,048</w:t>
            </w:r>
          </w:p>
        </w:tc>
        <w:tc>
          <w:tcPr>
            <w:tcW w:w="1140" w:type="dxa"/>
            <w:vAlign w:val="bottom"/>
            <w:gridSpan w:val="3"/>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(2,801)</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1,011,314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(Loss) profit for the period</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61,400</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61,400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 (loss)</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1,058</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1,058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1,259</w:t>
            </w:r>
          </w:p>
        </w:tc>
        <w:tc>
          <w:tcPr>
            <w:tcW w:w="12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(1,229)</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Compensation cost - stock options and stock</w:t>
            </w: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(38)</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3,278</w:t>
            </w: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109</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3,387</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79"/>
              <w:spacing w:after="0"/>
              <w:rPr>
                <w:sz w:val="20"/>
                <w:szCs w:val="20"/>
                <w:color w:val="auto"/>
              </w:rPr>
            </w:pPr>
            <w:r>
              <w:rPr>
                <w:rFonts w:ascii="Arial" w:cs="Arial" w:eastAsia="Arial" w:hAnsi="Arial"/>
                <w:sz w:val="14"/>
                <w:szCs w:val="14"/>
                <w:color w:val="auto"/>
              </w:rPr>
              <w:t>(28)</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10,637</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10,637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Dymanic provision</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(63,566)</w:t>
            </w:r>
          </w:p>
        </w:tc>
        <w:tc>
          <w:tcPr>
            <w:tcW w:w="1140" w:type="dxa"/>
            <w:vAlign w:val="bottom"/>
            <w:gridSpan w:val="3"/>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(63,566)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680" w:type="dxa"/>
            <w:vAlign w:val="bottom"/>
          </w:tcPr>
          <w:p>
            <w:pPr>
              <w:spacing w:after="0"/>
              <w:rPr>
                <w:sz w:val="20"/>
                <w:szCs w:val="20"/>
                <w:color w:val="auto"/>
              </w:rPr>
            </w:pPr>
            <w:r>
              <w:rPr>
                <w:rFonts w:ascii="Arial" w:cs="Arial" w:eastAsia="Arial" w:hAnsi="Arial"/>
                <w:sz w:val="14"/>
                <w:szCs w:val="14"/>
                <w:color w:val="auto"/>
              </w:rPr>
              <w:t>Dividends declared</w:t>
            </w:r>
          </w:p>
        </w:tc>
        <w:tc>
          <w:tcPr>
            <w:tcW w:w="108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160" w:type="dxa"/>
            <w:vAlign w:val="bottom"/>
          </w:tcPr>
          <w:p>
            <w:pPr>
              <w:spacing w:after="0"/>
              <w:rPr>
                <w:sz w:val="14"/>
                <w:szCs w:val="14"/>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(45,384)</w:t>
            </w:r>
          </w:p>
        </w:tc>
        <w:tc>
          <w:tcPr>
            <w:tcW w:w="1140" w:type="dxa"/>
            <w:vAlign w:val="bottom"/>
            <w:gridSpan w:val="3"/>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4"/>
                <w:szCs w:val="14"/>
                <w:color w:val="auto"/>
              </w:rPr>
              <w:t>(45,384)</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September 30, 2017</w:t>
            </w: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(64,667</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119,436</w:t>
            </w:r>
          </w:p>
        </w:tc>
        <w:tc>
          <w:tcPr>
            <w:tcW w:w="16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16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43,826</w:t>
            </w:r>
          </w:p>
        </w:tc>
        <w:tc>
          <w:tcPr>
            <w:tcW w:w="1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18,633</w:t>
            </w:r>
          </w:p>
        </w:tc>
        <w:tc>
          <w:tcPr>
            <w:tcW w:w="16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488,135</w:t>
            </w: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(1,743</w:t>
            </w:r>
          </w:p>
        </w:tc>
        <w:tc>
          <w:tcPr>
            <w:tcW w:w="180" w:type="dxa"/>
            <w:vAlign w:val="bottom"/>
            <w:tcBorders>
              <w:top w:val="single" w:sz="8" w:color="CCEEFF"/>
            </w:tcBorders>
            <w:shd w:val="clear" w:color="auto" w:fill="CCEEFF"/>
          </w:tcPr>
          <w:p>
            <w:pPr>
              <w:jc w:val="right"/>
              <w:ind w:right="48"/>
              <w:spacing w:after="0" w:line="142" w:lineRule="exact"/>
              <w:rPr>
                <w:sz w:val="20"/>
                <w:szCs w:val="20"/>
                <w:color w:val="auto"/>
              </w:rPr>
            </w:pPr>
            <w:r>
              <w:rPr>
                <w:rFonts w:ascii="Arial" w:cs="Arial" w:eastAsia="Arial" w:hAnsi="Arial"/>
                <w:sz w:val="14"/>
                <w:szCs w:val="14"/>
                <w:color w:val="auto"/>
                <w:w w:val="84"/>
              </w:rPr>
              <w:t>)</w:t>
            </w: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978,810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2018</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279,980</w:t>
            </w:r>
          </w:p>
        </w:tc>
        <w:tc>
          <w:tcPr>
            <w:tcW w:w="106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(63,248)</w:t>
            </w: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119,941</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95,210</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108,756</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20,498</w:t>
            </w: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479,712</w:t>
            </w:r>
          </w:p>
        </w:tc>
        <w:tc>
          <w:tcPr>
            <w:tcW w:w="1140" w:type="dxa"/>
            <w:vAlign w:val="bottom"/>
            <w:gridSpan w:val="3"/>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1,963</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1,042,812</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(9,595)</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(9,595)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(389)</w:t>
            </w: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(389)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1,259</w:t>
            </w:r>
          </w:p>
        </w:tc>
        <w:tc>
          <w:tcPr>
            <w:tcW w:w="12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(1,259)</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Compensation cost - stock options and stock</w:t>
            </w: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587</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587</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3,355</w:t>
            </w: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254</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3,609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79"/>
              <w:spacing w:after="0"/>
              <w:rPr>
                <w:sz w:val="20"/>
                <w:szCs w:val="20"/>
                <w:color w:val="auto"/>
              </w:rPr>
            </w:pPr>
            <w:r>
              <w:rPr>
                <w:rFonts w:ascii="Arial" w:cs="Arial" w:eastAsia="Arial" w:hAnsi="Arial"/>
                <w:sz w:val="14"/>
                <w:szCs w:val="14"/>
                <w:color w:val="auto"/>
              </w:rPr>
              <w:t>(2,442)</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(2,442)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(20,473)</w:t>
            </w: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20,473</w:t>
            </w:r>
          </w:p>
        </w:tc>
        <w:tc>
          <w:tcPr>
            <w:tcW w:w="1140" w:type="dxa"/>
            <w:vAlign w:val="bottom"/>
            <w:gridSpan w:val="3"/>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Dymanic provision</w:t>
            </w:r>
          </w:p>
        </w:tc>
        <w:tc>
          <w:tcPr>
            <w:tcW w:w="10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680" w:type="dxa"/>
            <w:vAlign w:val="bottom"/>
          </w:tcPr>
          <w:p>
            <w:pPr>
              <w:spacing w:after="0"/>
              <w:rPr>
                <w:sz w:val="20"/>
                <w:szCs w:val="20"/>
                <w:color w:val="auto"/>
              </w:rPr>
            </w:pPr>
            <w:r>
              <w:rPr>
                <w:rFonts w:ascii="Arial" w:cs="Arial" w:eastAsia="Arial" w:hAnsi="Arial"/>
                <w:sz w:val="14"/>
                <w:szCs w:val="14"/>
                <w:color w:val="auto"/>
              </w:rPr>
              <w:t>Dividends declared</w:t>
            </w:r>
          </w:p>
        </w:tc>
        <w:tc>
          <w:tcPr>
            <w:tcW w:w="108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160" w:type="dxa"/>
            <w:vAlign w:val="bottom"/>
          </w:tcPr>
          <w:p>
            <w:pPr>
              <w:spacing w:after="0"/>
              <w:rPr>
                <w:sz w:val="14"/>
                <w:szCs w:val="14"/>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(45,631)</w:t>
            </w:r>
          </w:p>
        </w:tc>
        <w:tc>
          <w:tcPr>
            <w:tcW w:w="1140" w:type="dxa"/>
            <w:vAlign w:val="bottom"/>
            <w:gridSpan w:val="3"/>
          </w:tcPr>
          <w:p>
            <w:pPr>
              <w:jc w:val="right"/>
              <w:ind w:right="10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4"/>
                <w:szCs w:val="14"/>
                <w:color w:val="auto"/>
              </w:rPr>
              <w:t>(45,631)</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6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September 30, 2018</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(61,076</w:t>
            </w:r>
          </w:p>
        </w:tc>
        <w:tc>
          <w:tcPr>
            <w:tcW w:w="16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119,523</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5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108,756</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5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444,959</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1,574</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988,951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6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3" w:right="239" w:bottom="1440" w:gutter="0" w:footer="0" w:header="0"/>
        </w:sectPr>
      </w:pPr>
    </w:p>
    <w:bookmarkStart w:id="9" w:name="page10"/>
    <w:bookmarkEnd w:id="9"/>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2018, 2017 and 2016</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6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(Loss) profit for the period</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(9,595)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61,400</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73,701</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70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4"/>
              </w:rPr>
              <w:t>Adjustments to reconcile profit for the year to net cash provided by (used in) operating</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activities:</w:t>
            </w: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Activities of derivative financial instruments used for hedging</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1,929</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(35,559)</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(18,947)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957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1,171</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1,011</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553</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425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840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Loss for disposal of intangible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2,705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14</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 on investment properties at fair value through profit or loss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1,560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from expected credit losses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58,836</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8,645</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17,408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 gain on sale of financial assets at fair value through OCI</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(79)</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Amortization of premium and discount related to securities at amortized cost</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798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601</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863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property and equipment</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on other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3,464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587</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(38)</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(184,376)</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(170,280)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(184,453)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102,601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78,606</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66,924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pledged deposits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25,320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18,720</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(3,385)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53,383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loans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(216,489)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676,129</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297,758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Other assets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(15,281)</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(2,514)</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4,044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increase due to depositors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(151,309)</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200,157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330,536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Other liabilities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13,218</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(15,842)</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(16,850)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provided by operating activities</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(363,206)</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821,810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625,083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received</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169,881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181,598</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184,608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ind w:left="160"/>
              <w:spacing w:after="0"/>
              <w:rPr>
                <w:sz w:val="20"/>
                <w:szCs w:val="20"/>
                <w:color w:val="auto"/>
              </w:rPr>
            </w:pPr>
            <w:r>
              <w:rPr>
                <w:rFonts w:ascii="Arial" w:cs="Arial" w:eastAsia="Arial" w:hAnsi="Arial"/>
                <w:sz w:val="18"/>
                <w:szCs w:val="18"/>
                <w:color w:val="auto"/>
              </w:rPr>
              <w:t>Interest paid</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(94,990)</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(77,018)</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(62,640)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(288,315</w:t>
            </w:r>
          </w:p>
        </w:tc>
        <w:tc>
          <w:tcPr>
            <w:tcW w:w="260" w:type="dxa"/>
            <w:vAlign w:val="bottom"/>
            <w:tcBorders>
              <w:top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926,390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747,051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(1,131)</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(622)</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(1,520)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intangible assets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(45)</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(3,084)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the sale of investment property</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1,270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redemption of securities at fair value through OCI</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3,244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77,286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15,177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107,888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securities at amortized cost</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6,324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14,240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43,212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Purchases of securities at fair value through OCI</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(91,972)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Purchases of securities at amortized cost</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(15,701)</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(8,324)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(23,713)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(6,039</w:t>
            </w:r>
          </w:p>
        </w:tc>
        <w:tc>
          <w:tcPr>
            <w:tcW w:w="260" w:type="dxa"/>
            <w:vAlign w:val="bottom"/>
            <w:tcBorders>
              <w:bottom w:val="single" w:sz="8" w:color="CCEEFF"/>
            </w:tcBorders>
          </w:tcPr>
          <w:p>
            <w:pPr>
              <w:jc w:val="right"/>
              <w:ind w:right="12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20,445</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108,097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2"/>
              </w:rPr>
              <w:t>Increase (decrease) net in short-term borrowings and debt and securities sold under repurchase</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agreements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204,647</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(732,946)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(1,310,550)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532,206</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220,172</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374,859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(247,098)</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(639,114)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(425,301)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Dividends paid</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(45,860)</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(45,449)</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(45,104)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3,609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3,387</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1,566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(2,442)</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(28)</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445,062</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(1,193,978</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(1,404,530</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Increase (decrease) net in cash and cash equivalents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146,224</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(251,383)</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(548,475)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618,807</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1,007,726</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1,267,302</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765,031</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756,343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718,827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3" w:right="239" w:bottom="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Holdings Inc. a wholly owned subsidiary, incorporated under the laws of the State of Delaware, United States of America (USA), on May 30, 2000. Bladex Holdings Inc. has ownership in Bladex Representacao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660" w:hanging="328"/>
        <w:spacing w:after="0" w:line="297" w:lineRule="auto"/>
        <w:tabs>
          <w:tab w:leader="none" w:pos="660" w:val="left"/>
        </w:tabs>
        <w:numPr>
          <w:ilvl w:val="1"/>
          <w:numId w:val="1"/>
        </w:numPr>
        <w:rPr>
          <w:rFonts w:ascii="Arial" w:cs="Arial" w:eastAsia="Arial" w:hAnsi="Arial"/>
          <w:sz w:val="16"/>
          <w:szCs w:val="16"/>
          <w:color w:val="auto"/>
        </w:rPr>
      </w:pPr>
      <w:r>
        <w:rPr>
          <w:rFonts w:ascii="Arial" w:cs="Arial" w:eastAsia="Arial" w:hAnsi="Arial"/>
          <w:sz w:val="16"/>
          <w:szCs w:val="16"/>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Securities and Exchange Commission of Brazil (“CVM”, for its acronym in Portuguese). Bladex Investimentos Ltda. merged with Bladex Representacao Ltda. on April 2016, being the former the extinct company under Brazilian law and prevailing the acquiring company Bladex Representacao Ltda.</w:t>
      </w:r>
    </w:p>
    <w:p>
      <w:pPr>
        <w:spacing w:after="0" w:line="158" w:lineRule="exact"/>
        <w:rPr>
          <w:rFonts w:ascii="Arial" w:cs="Arial" w:eastAsia="Arial" w:hAnsi="Arial"/>
          <w:sz w:val="16"/>
          <w:szCs w:val="16"/>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340" w:right="2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in Lima, Peru; and in Bogota, Colombia.</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October 23, 2018.</w:t>
      </w:r>
    </w:p>
    <w:p>
      <w:pPr>
        <w:spacing w:after="0" w:line="232" w:lineRule="exact"/>
        <w:rPr>
          <w:rFonts w:ascii="Arial" w:cs="Arial" w:eastAsia="Arial" w:hAnsi="Arial"/>
          <w:sz w:val="18"/>
          <w:szCs w:val="18"/>
          <w:b w:val="1"/>
          <w:bCs w:val="1"/>
          <w:color w:val="auto"/>
        </w:rPr>
      </w:pPr>
    </w:p>
    <w:p>
      <w:pPr>
        <w:ind w:left="340" w:right="646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spacing w:after="0" w:line="1" w:lineRule="exact"/>
        <w:rPr>
          <w:sz w:val="20"/>
          <w:szCs w:val="20"/>
          <w:color w:val="auto"/>
        </w:rPr>
      </w:pPr>
    </w:p>
    <w:p>
      <w:pPr>
        <w:jc w:val="both"/>
        <w:ind w:left="500"/>
        <w:spacing w:after="0" w:line="272" w:lineRule="auto"/>
        <w:rPr>
          <w:sz w:val="20"/>
          <w:szCs w:val="20"/>
          <w:color w:val="auto"/>
        </w:rPr>
      </w:pPr>
      <w:r>
        <w:rPr>
          <w:rFonts w:ascii="Arial" w:cs="Arial" w:eastAsia="Arial" w:hAnsi="Arial"/>
          <w:sz w:val="17"/>
          <w:szCs w:val="17"/>
          <w:color w:val="auto"/>
        </w:rPr>
        <w:t xml:space="preserve">These unaudited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2017, contained in the Bank’s annual audited consolidated financial statements. The unaudited condensed consolidated interim statements of profit or loss, profit or loss and other comprehensive income, changes in equity and cash flows for the periods presented are not necessarily indicative of results expected for any future period.</w:t>
      </w:r>
    </w:p>
    <w:p>
      <w:pPr>
        <w:spacing w:after="0" w:line="17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2.2 Reclassification</w:t>
      </w:r>
    </w:p>
    <w:p>
      <w:pPr>
        <w:spacing w:after="0" w:line="229" w:lineRule="exact"/>
        <w:rPr>
          <w:sz w:val="20"/>
          <w:szCs w:val="20"/>
          <w:color w:val="auto"/>
        </w:rPr>
      </w:pPr>
    </w:p>
    <w:p>
      <w:pPr>
        <w:jc w:val="both"/>
        <w:ind w:left="500"/>
        <w:spacing w:after="0" w:line="277" w:lineRule="auto"/>
        <w:rPr>
          <w:sz w:val="20"/>
          <w:szCs w:val="20"/>
          <w:color w:val="auto"/>
        </w:rPr>
      </w:pPr>
      <w:r>
        <w:rPr>
          <w:rFonts w:ascii="Arial" w:cs="Arial" w:eastAsia="Arial" w:hAnsi="Arial"/>
          <w:sz w:val="18"/>
          <w:szCs w:val="18"/>
          <w:color w:val="auto"/>
        </w:rPr>
        <w:t>Certain amounts in the prior year’s financial statements have been reclassified to conform to the current year’s presentation. These reclassifications had no effect on the previously reported changes in net assets or equity.</w:t>
      </w:r>
    </w:p>
    <w:p>
      <w:pPr>
        <w:spacing w:after="0" w:line="166" w:lineRule="exact"/>
        <w:rPr>
          <w:sz w:val="20"/>
          <w:szCs w:val="20"/>
          <w:color w:val="auto"/>
        </w:rPr>
      </w:pPr>
    </w:p>
    <w:p>
      <w:pPr>
        <w:ind w:left="340" w:right="7440" w:hanging="332"/>
        <w:spacing w:after="0" w:line="503" w:lineRule="auto"/>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new significant accounting policies 3.1 Investment properties</w:t>
      </w:r>
    </w:p>
    <w:p>
      <w:pPr>
        <w:spacing w:after="0" w:line="1"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Property and Land that is held for long-term rental yields, operating leases and/or for capital appreciation, and that is not occupied by the Bank, is classified as investment property. Investment property is measured initially at its cost, including related transaction costs and where applicable borrowing costs. After initial recognition, investment property is carried at fair value.</w:t>
      </w:r>
    </w:p>
    <w:p>
      <w:pPr>
        <w:spacing w:after="0" w:line="181" w:lineRule="exact"/>
        <w:rPr>
          <w:sz w:val="20"/>
          <w:szCs w:val="20"/>
          <w:color w:val="auto"/>
        </w:rPr>
      </w:pPr>
    </w:p>
    <w:p>
      <w:pPr>
        <w:jc w:val="both"/>
        <w:ind w:left="500"/>
        <w:spacing w:after="0" w:line="257" w:lineRule="auto"/>
        <w:rPr>
          <w:sz w:val="20"/>
          <w:szCs w:val="20"/>
          <w:color w:val="auto"/>
        </w:rPr>
      </w:pPr>
      <w:r>
        <w:rPr>
          <w:rFonts w:ascii="Arial" w:cs="Arial" w:eastAsia="Arial" w:hAnsi="Arial"/>
          <w:sz w:val="18"/>
          <w:szCs w:val="18"/>
          <w:color w:val="auto"/>
        </w:rPr>
        <w:t>Fair value is based on active market prices, adjusted, if necessary, for differences in the nature, location or condition of the specific asset. If this information is not available, the Bank uses alternative valuation methods, such as recent prices on less active markets or discounted cash flow projections. Valuations are performed as of the financial position date by professional valuers who hold recognised and relevant professional qualifications and have recent experience in the location and category of the investment property being valued. These valuations form the basis for the carrying amounts in the consolidated financial statements.</w:t>
      </w:r>
    </w:p>
    <w:p>
      <w:pPr>
        <w:spacing w:after="0" w:line="188" w:lineRule="exact"/>
        <w:rPr>
          <w:sz w:val="20"/>
          <w:szCs w:val="20"/>
          <w:color w:val="auto"/>
        </w:rPr>
      </w:pPr>
    </w:p>
    <w:p>
      <w:pPr>
        <w:jc w:val="both"/>
        <w:ind w:left="500"/>
        <w:spacing w:after="0" w:line="277" w:lineRule="auto"/>
        <w:rPr>
          <w:sz w:val="20"/>
          <w:szCs w:val="20"/>
          <w:color w:val="auto"/>
        </w:rPr>
      </w:pPr>
      <w:r>
        <w:rPr>
          <w:rFonts w:ascii="Arial" w:cs="Arial" w:eastAsia="Arial" w:hAnsi="Arial"/>
          <w:sz w:val="18"/>
          <w:szCs w:val="18"/>
          <w:color w:val="auto"/>
        </w:rPr>
        <w:t>The fair value of investment property reflects, among other things, rental income from current leases and other assumptions market participants would make when pricing the property under current market conditions.</w:t>
      </w:r>
    </w:p>
    <w:p>
      <w:pPr>
        <w:spacing w:after="0" w:line="170"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Subsequent expenditure is capitalised to the asset’s carrying amount only when it is probable that future economic benefits associated with the expenditure will flow to the Bank and the cost of the item can be measured reliably. All other repairs and maintenance costs are expensed when incurred. When part of an investment property is replaced, the carrying amount of the replaced part is derecognised.</w:t>
      </w:r>
    </w:p>
    <w:p>
      <w:pPr>
        <w:spacing w:after="0" w:line="18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Changes in fair values are recognised in the income statement. Investment properties are derecognised when they have been disposed.</w:t>
      </w:r>
    </w:p>
    <w:p>
      <w:pPr>
        <w:spacing w:after="0" w:line="225" w:lineRule="exact"/>
        <w:rPr>
          <w:sz w:val="20"/>
          <w:szCs w:val="20"/>
          <w:color w:val="auto"/>
        </w:rPr>
      </w:pPr>
    </w:p>
    <w:p>
      <w:pPr>
        <w:jc w:val="both"/>
        <w:ind w:left="500"/>
        <w:spacing w:after="0" w:line="308" w:lineRule="auto"/>
        <w:rPr>
          <w:sz w:val="20"/>
          <w:szCs w:val="20"/>
          <w:color w:val="auto"/>
        </w:rPr>
      </w:pPr>
      <w:r>
        <w:rPr>
          <w:rFonts w:ascii="Arial" w:cs="Arial" w:eastAsia="Arial" w:hAnsi="Arial"/>
          <w:sz w:val="17"/>
          <w:szCs w:val="17"/>
          <w:color w:val="auto"/>
        </w:rPr>
        <w:t>Where the Bank disposes of a property at fair value in an arm’s length transaction, the carrying value immediately prior to the sale is adjusted to the transaction price, and the adjustment is recorded in the income statement within from fair value adjustment on investment property.</w:t>
      </w:r>
    </w:p>
    <w:p>
      <w:pPr>
        <w:spacing w:after="0" w:line="36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new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 Investment properties (continued)</w:t>
      </w:r>
    </w:p>
    <w:p>
      <w:pPr>
        <w:spacing w:after="0" w:line="229"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If an investment property becomes owner-occupied, it is reclassified as property, plant and equipment. Its fair value at the date of reclassification becomes its cost for subsequent accounting purposes.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56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8220" w:type="dxa"/>
            <w:vAlign w:val="bottom"/>
          </w:tcPr>
          <w:p>
            <w:pPr>
              <w:spacing w:after="0"/>
              <w:rPr>
                <w:sz w:val="24"/>
                <w:szCs w:val="24"/>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14,214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11,032</w:t>
            </w: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200" w:type="dxa"/>
            <w:vAlign w:val="bottom"/>
          </w:tcPr>
          <w:p>
            <w:pPr>
              <w:jc w:val="right"/>
              <w:spacing w:after="0"/>
              <w:rPr>
                <w:sz w:val="20"/>
                <w:szCs w:val="20"/>
                <w:color w:val="auto"/>
              </w:rPr>
            </w:pPr>
            <w:r>
              <w:rPr>
                <w:rFonts w:ascii="Arial" w:cs="Arial" w:eastAsia="Arial" w:hAnsi="Arial"/>
                <w:sz w:val="18"/>
                <w:szCs w:val="18"/>
                <w:color w:val="auto"/>
              </w:rPr>
              <w:t>778,738</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661,016</w:t>
            </w:r>
          </w:p>
        </w:tc>
      </w:tr>
      <w:tr>
        <w:trPr>
          <w:trHeight w:val="210"/>
        </w:trPr>
        <w:tc>
          <w:tcPr>
            <w:tcW w:w="340" w:type="dxa"/>
            <w:vAlign w:val="bottom"/>
          </w:tcPr>
          <w:p>
            <w:pPr>
              <w:spacing w:after="0"/>
              <w:rPr>
                <w:sz w:val="18"/>
                <w:szCs w:val="18"/>
                <w:color w:val="auto"/>
              </w:rPr>
            </w:pPr>
          </w:p>
        </w:tc>
        <w:tc>
          <w:tcPr>
            <w:tcW w:w="8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792,952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672,048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Pledged deposits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27,921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53,241</w:t>
            </w:r>
          </w:p>
        </w:tc>
      </w:tr>
      <w:tr>
        <w:trPr>
          <w:trHeight w:val="223"/>
        </w:trPr>
        <w:tc>
          <w:tcPr>
            <w:tcW w:w="340" w:type="dxa"/>
            <w:vAlign w:val="bottom"/>
          </w:tcPr>
          <w:p>
            <w:pPr>
              <w:spacing w:after="0"/>
              <w:rPr>
                <w:sz w:val="19"/>
                <w:szCs w:val="19"/>
                <w:color w:val="auto"/>
              </w:rPr>
            </w:pPr>
          </w:p>
        </w:tc>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765,031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618,807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details on interest-bearing deposits in banks and pledged deposits:</w:t>
      </w:r>
    </w:p>
    <w:p>
      <w:pPr>
        <w:sectPr>
          <w:pgSz w:w="11900" w:h="16838" w:orient="portrait"/>
          <w:cols w:equalWidth="0" w:num="1">
            <w:col w:w="11420"/>
          </w:cols>
          <w:pgMar w:left="240" w:top="877"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Interest-bearing deposits in banks:</w:t>
      </w:r>
    </w:p>
    <w:p>
      <w:pPr>
        <w:ind w:left="500"/>
        <w:spacing w:after="0" w:line="214" w:lineRule="auto"/>
        <w:rPr>
          <w:sz w:val="20"/>
          <w:szCs w:val="20"/>
          <w:color w:val="auto"/>
        </w:rPr>
      </w:pPr>
      <w:r>
        <w:rPr>
          <w:rFonts w:ascii="Arial" w:cs="Arial" w:eastAsia="Arial" w:hAnsi="Arial"/>
          <w:sz w:val="18"/>
          <w:szCs w:val="18"/>
          <w:color w:val="auto"/>
        </w:rPr>
        <w:t>Demand deposits</w:t>
      </w:r>
      <w:r>
        <w:rPr>
          <w:rFonts w:ascii="Arial" w:cs="Arial" w:eastAsia="Arial" w:hAnsi="Arial"/>
          <w:sz w:val="30"/>
          <w:szCs w:val="30"/>
          <w:color w:val="auto"/>
          <w:vertAlign w:val="superscript"/>
        </w:rPr>
        <w:t>(1)</w:t>
      </w:r>
    </w:p>
    <w:p>
      <w:pPr>
        <w:ind w:left="500"/>
        <w:spacing w:after="0" w:line="188" w:lineRule="auto"/>
        <w:rPr>
          <w:sz w:val="20"/>
          <w:szCs w:val="20"/>
          <w:color w:val="auto"/>
        </w:rPr>
      </w:pPr>
      <w:r>
        <w:rPr>
          <w:rFonts w:ascii="Arial" w:cs="Arial" w:eastAsia="Arial" w:hAnsi="Arial"/>
          <w:sz w:val="18"/>
          <w:szCs w:val="18"/>
          <w:color w:val="auto"/>
        </w:rPr>
        <w:t>Time deposits</w:t>
      </w:r>
      <w:r>
        <w:rPr>
          <w:rFonts w:ascii="Arial" w:cs="Arial" w:eastAsia="Arial" w:hAnsi="Arial"/>
          <w:sz w:val="30"/>
          <w:szCs w:val="30"/>
          <w:color w:val="auto"/>
          <w:vertAlign w:val="superscript"/>
        </w:rPr>
        <w:t>(2)</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7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Pledged deposits:</w:t>
      </w:r>
    </w:p>
    <w:p>
      <w:pPr>
        <w:ind w:left="500"/>
        <w:spacing w:after="0" w:line="198" w:lineRule="auto"/>
        <w:rPr>
          <w:sz w:val="20"/>
          <w:szCs w:val="20"/>
          <w:color w:val="auto"/>
        </w:rPr>
      </w:pPr>
      <w:r>
        <w:rPr>
          <w:rFonts w:ascii="Arial" w:cs="Arial" w:eastAsia="Arial" w:hAnsi="Arial"/>
          <w:sz w:val="18"/>
          <w:szCs w:val="18"/>
          <w:color w:val="auto"/>
        </w:rPr>
        <w:t>New York</w:t>
      </w:r>
      <w:r>
        <w:rPr>
          <w:rFonts w:ascii="Arial" w:cs="Arial" w:eastAsia="Arial" w:hAnsi="Arial"/>
          <w:sz w:val="30"/>
          <w:szCs w:val="30"/>
          <w:color w:val="auto"/>
          <w:vertAlign w:val="superscript"/>
        </w:rPr>
        <w:t>(3)</w:t>
      </w:r>
    </w:p>
    <w:p>
      <w:pPr>
        <w:ind w:left="500"/>
        <w:spacing w:after="0" w:line="188" w:lineRule="auto"/>
        <w:rPr>
          <w:sz w:val="20"/>
          <w:szCs w:val="20"/>
          <w:color w:val="auto"/>
        </w:rPr>
      </w:pPr>
      <w:r>
        <w:rPr>
          <w:rFonts w:ascii="Arial" w:cs="Arial" w:eastAsia="Arial" w:hAnsi="Arial"/>
          <w:sz w:val="18"/>
          <w:szCs w:val="18"/>
          <w:color w:val="auto"/>
        </w:rPr>
        <w:t>Panama</w:t>
      </w:r>
      <w:r>
        <w:rPr>
          <w:rFonts w:ascii="Arial" w:cs="Arial" w:eastAsia="Arial" w:hAnsi="Arial"/>
          <w:sz w:val="30"/>
          <w:szCs w:val="30"/>
          <w:color w:val="auto"/>
          <w:vertAlign w:val="superscript"/>
        </w:rPr>
        <w:t>(4)</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2880" w:type="dxa"/>
            <w:vAlign w:val="bottom"/>
            <w:gridSpan w:val="4"/>
          </w:tcPr>
          <w:p>
            <w:pPr>
              <w:jc w:val="right"/>
              <w:ind w:right="820"/>
              <w:spacing w:after="0"/>
              <w:rPr>
                <w:sz w:val="20"/>
                <w:szCs w:val="20"/>
                <w:color w:val="auto"/>
              </w:rPr>
            </w:pPr>
            <w:r>
              <w:rPr>
                <w:rFonts w:ascii="Arial" w:cs="Arial" w:eastAsia="Arial" w:hAnsi="Arial"/>
                <w:sz w:val="18"/>
                <w:szCs w:val="18"/>
                <w:b w:val="1"/>
                <w:bCs w:val="1"/>
                <w:color w:val="auto"/>
              </w:rPr>
              <w:t>September 30, 2018</w:t>
            </w:r>
          </w:p>
        </w:tc>
        <w:tc>
          <w:tcPr>
            <w:tcW w:w="2780" w:type="dxa"/>
            <w:vAlign w:val="bottom"/>
            <w:gridSpan w:val="4"/>
          </w:tcPr>
          <w:p>
            <w:pPr>
              <w:jc w:val="right"/>
              <w:ind w:right="740"/>
              <w:spacing w:after="0"/>
              <w:rPr>
                <w:sz w:val="20"/>
                <w:szCs w:val="20"/>
                <w:color w:val="auto"/>
              </w:rPr>
            </w:pPr>
            <w:r>
              <w:rPr>
                <w:rFonts w:ascii="Arial" w:cs="Arial" w:eastAsia="Arial" w:hAnsi="Arial"/>
                <w:sz w:val="18"/>
                <w:szCs w:val="18"/>
                <w:b w:val="1"/>
                <w:bCs w:val="1"/>
                <w:color w:val="auto"/>
              </w:rPr>
              <w:t>December 31, 2017</w:t>
            </w:r>
          </w:p>
        </w:tc>
      </w:tr>
      <w:tr>
        <w:trPr>
          <w:trHeight w:val="191"/>
        </w:trPr>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right"/>
              <w:ind w:right="270"/>
              <w:spacing w:after="0" w:line="191" w:lineRule="exact"/>
              <w:rPr>
                <w:sz w:val="20"/>
                <w:szCs w:val="20"/>
                <w:color w:val="auto"/>
              </w:rPr>
            </w:pPr>
            <w:r>
              <w:rPr>
                <w:rFonts w:ascii="Arial" w:cs="Arial" w:eastAsia="Arial" w:hAnsi="Arial"/>
                <w:sz w:val="18"/>
                <w:szCs w:val="18"/>
                <w:b w:val="1"/>
                <w:bCs w:val="1"/>
                <w:color w:val="auto"/>
              </w:rPr>
              <w:t>Range</w:t>
            </w:r>
          </w:p>
        </w:tc>
        <w:tc>
          <w:tcPr>
            <w:tcW w:w="26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right"/>
              <w:ind w:right="270"/>
              <w:spacing w:after="0" w:line="191" w:lineRule="exact"/>
              <w:rPr>
                <w:sz w:val="20"/>
                <w:szCs w:val="20"/>
                <w:color w:val="auto"/>
              </w:rPr>
            </w:pPr>
            <w:r>
              <w:rPr>
                <w:rFonts w:ascii="Arial" w:cs="Arial" w:eastAsia="Arial" w:hAnsi="Arial"/>
                <w:sz w:val="18"/>
                <w:szCs w:val="18"/>
                <w:b w:val="1"/>
                <w:bCs w:val="1"/>
                <w:color w:val="auto"/>
              </w:rPr>
              <w:t>Range</w:t>
            </w:r>
          </w:p>
        </w:tc>
        <w:tc>
          <w:tcPr>
            <w:tcW w:w="160" w:type="dxa"/>
            <w:vAlign w:val="bottom"/>
          </w:tcPr>
          <w:p>
            <w:pPr>
              <w:spacing w:after="0"/>
              <w:rPr>
                <w:sz w:val="16"/>
                <w:szCs w:val="16"/>
                <w:color w:val="auto"/>
              </w:rPr>
            </w:pPr>
          </w:p>
        </w:tc>
      </w:tr>
      <w:tr>
        <w:trPr>
          <w:trHeight w:val="234"/>
        </w:trPr>
        <w:tc>
          <w:tcPr>
            <w:tcW w:w="120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Interest rate</w:t>
            </w:r>
          </w:p>
        </w:tc>
        <w:tc>
          <w:tcPr>
            <w:tcW w:w="260" w:type="dxa"/>
            <w:vAlign w:val="bottom"/>
          </w:tcPr>
          <w:p>
            <w:pPr>
              <w:spacing w:after="0"/>
              <w:rPr>
                <w:sz w:val="20"/>
                <w:szCs w:val="20"/>
                <w:color w:val="auto"/>
              </w:rPr>
            </w:pPr>
          </w:p>
        </w:tc>
        <w:tc>
          <w:tcPr>
            <w:tcW w:w="120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Interest rate</w:t>
            </w:r>
          </w:p>
        </w:tc>
        <w:tc>
          <w:tcPr>
            <w:tcW w:w="160" w:type="dxa"/>
            <w:vAlign w:val="bottom"/>
          </w:tcPr>
          <w:p>
            <w:pPr>
              <w:spacing w:after="0"/>
              <w:rPr>
                <w:sz w:val="20"/>
                <w:szCs w:val="20"/>
                <w:color w:val="auto"/>
              </w:rPr>
            </w:pPr>
          </w:p>
        </w:tc>
      </w:tr>
      <w:tr>
        <w:trPr>
          <w:trHeight w:val="46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778,738</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0.41% a 5.61%</w:t>
            </w:r>
          </w:p>
        </w:tc>
        <w:tc>
          <w:tcPr>
            <w:tcW w:w="1200" w:type="dxa"/>
            <w:vAlign w:val="bottom"/>
          </w:tcPr>
          <w:p>
            <w:pPr>
              <w:jc w:val="right"/>
              <w:spacing w:after="0"/>
              <w:rPr>
                <w:sz w:val="20"/>
                <w:szCs w:val="20"/>
                <w:color w:val="auto"/>
              </w:rPr>
            </w:pPr>
            <w:r>
              <w:rPr>
                <w:rFonts w:ascii="Arial" w:cs="Arial" w:eastAsia="Arial" w:hAnsi="Arial"/>
                <w:sz w:val="18"/>
                <w:szCs w:val="18"/>
                <w:color w:val="auto"/>
              </w:rPr>
              <w:t>661,016</w:t>
            </w:r>
          </w:p>
        </w:tc>
        <w:tc>
          <w:tcPr>
            <w:tcW w:w="220" w:type="dxa"/>
            <w:vAlign w:val="bottom"/>
          </w:tcPr>
          <w:p>
            <w:pPr>
              <w:spacing w:after="0"/>
              <w:rPr>
                <w:sz w:val="24"/>
                <w:szCs w:val="24"/>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0.25% a 1.55%</w:t>
            </w:r>
          </w:p>
        </w:tc>
      </w:tr>
      <w:tr>
        <w:trPr>
          <w:trHeight w:val="270"/>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3"/>
                <w:szCs w:val="23"/>
                <w:color w:val="auto"/>
              </w:rPr>
            </w:pPr>
          </w:p>
        </w:tc>
        <w:tc>
          <w:tcPr>
            <w:tcW w:w="14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3"/>
                <w:szCs w:val="23"/>
                <w:color w:val="auto"/>
              </w:rPr>
            </w:pP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778,738</w:t>
            </w: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661,016</w:t>
            </w: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669"/>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w:t>
            </w:r>
          </w:p>
        </w:tc>
        <w:tc>
          <w:tcPr>
            <w:tcW w:w="14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3,000</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r>
      <w:tr>
        <w:trPr>
          <w:trHeight w:val="27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24,421</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2.18%</w:t>
            </w:r>
          </w:p>
        </w:tc>
        <w:tc>
          <w:tcPr>
            <w:tcW w:w="1200" w:type="dxa"/>
            <w:vAlign w:val="bottom"/>
          </w:tcPr>
          <w:p>
            <w:pPr>
              <w:jc w:val="right"/>
              <w:spacing w:after="0"/>
              <w:rPr>
                <w:sz w:val="20"/>
                <w:szCs w:val="20"/>
                <w:color w:val="auto"/>
              </w:rPr>
            </w:pPr>
            <w:r>
              <w:rPr>
                <w:rFonts w:ascii="Arial" w:cs="Arial" w:eastAsia="Arial" w:hAnsi="Arial"/>
                <w:sz w:val="18"/>
                <w:szCs w:val="18"/>
                <w:color w:val="auto"/>
              </w:rPr>
              <w:t>50,241</w:t>
            </w:r>
          </w:p>
        </w:tc>
        <w:tc>
          <w:tcPr>
            <w:tcW w:w="1580" w:type="dxa"/>
            <w:vAlign w:val="bottom"/>
            <w:gridSpan w:val="3"/>
          </w:tcPr>
          <w:p>
            <w:pPr>
              <w:jc w:val="right"/>
              <w:spacing w:after="0"/>
              <w:rPr>
                <w:sz w:val="20"/>
                <w:szCs w:val="20"/>
                <w:color w:val="auto"/>
              </w:rPr>
            </w:pPr>
            <w:r>
              <w:rPr>
                <w:rFonts w:ascii="Arial" w:cs="Arial" w:eastAsia="Arial" w:hAnsi="Arial"/>
                <w:sz w:val="18"/>
                <w:szCs w:val="18"/>
                <w:color w:val="auto"/>
              </w:rPr>
              <w:t>1.42%</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27,921</w:t>
            </w: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53,241</w:t>
            </w: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-3357245</wp:posOffset>
            </wp:positionH>
            <wp:positionV relativeFrom="paragraph">
              <wp:posOffset>-1448435</wp:posOffset>
            </wp:positionV>
            <wp:extent cx="6955155" cy="1460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-1139825</wp:posOffset>
            </wp:positionV>
            <wp:extent cx="6955155" cy="1714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6955155" cy="171450"/>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-805180</wp:posOffset>
            </wp:positionV>
            <wp:extent cx="6955155" cy="1543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-513715</wp:posOffset>
            </wp:positionV>
            <wp:extent cx="6955155" cy="16319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-179705</wp:posOffset>
            </wp:positionV>
            <wp:extent cx="6955155" cy="16319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87" w:lineRule="exact"/>
        <w:rPr>
          <w:sz w:val="20"/>
          <w:szCs w:val="20"/>
          <w:color w:val="auto"/>
        </w:rPr>
      </w:pPr>
    </w:p>
    <w:p>
      <w:pPr>
        <w:sectPr>
          <w:pgSz w:w="11900" w:h="16838" w:orient="portrait"/>
          <w:cols w:equalWidth="0" w:num="2">
            <w:col w:w="4900" w:space="720"/>
            <w:col w:w="5800"/>
          </w:cols>
          <w:pgMar w:left="240" w:top="877" w:right="239" w:bottom="1440" w:gutter="0" w:footer="0" w:header="0"/>
          <w:type w:val="continuous"/>
        </w:sectPr>
      </w:pPr>
    </w:p>
    <w:p>
      <w:pPr>
        <w:ind w:left="980" w:hanging="324"/>
        <w:spacing w:after="0"/>
        <w:tabs>
          <w:tab w:leader="none" w:pos="980" w:val="left"/>
        </w:tabs>
        <w:numPr>
          <w:ilvl w:val="0"/>
          <w:numId w:val="5"/>
        </w:numPr>
        <w:rPr>
          <w:rFonts w:ascii="Arial" w:cs="Arial" w:eastAsia="Arial" w:hAnsi="Arial"/>
          <w:sz w:val="30"/>
          <w:szCs w:val="30"/>
          <w:color w:val="auto"/>
          <w:vertAlign w:val="superscript"/>
        </w:rPr>
      </w:pPr>
      <w:r>
        <w:rPr>
          <w:rFonts w:ascii="Arial" w:cs="Arial" w:eastAsia="Arial" w:hAnsi="Arial"/>
          <w:sz w:val="18"/>
          <w:szCs w:val="18"/>
          <w:color w:val="auto"/>
        </w:rPr>
        <w:t>Demand deposits with bearing interest based on the daily rates determined by banks.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5"/>
        </w:numPr>
        <w:rPr>
          <w:rFonts w:ascii="Arial" w:cs="Arial" w:eastAsia="Arial" w:hAnsi="Arial"/>
          <w:sz w:val="24"/>
          <w:szCs w:val="24"/>
          <w:color w:val="auto"/>
          <w:vertAlign w:val="superscript"/>
        </w:rPr>
      </w:pPr>
      <w:r>
        <w:rPr>
          <w:rFonts w:ascii="Arial" w:cs="Arial" w:eastAsia="Arial" w:hAnsi="Arial"/>
          <w:sz w:val="15"/>
          <w:szCs w:val="15"/>
          <w:color w:val="auto"/>
        </w:rPr>
        <w:t>Time deposits “overnight” calculated on an average interest rate.</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5"/>
        </w:numPr>
        <w:rPr>
          <w:rFonts w:ascii="Arial" w:cs="Arial" w:eastAsia="Arial" w:hAnsi="Arial"/>
          <w:sz w:val="24"/>
          <w:szCs w:val="24"/>
          <w:color w:val="auto"/>
          <w:vertAlign w:val="superscript"/>
        </w:rPr>
      </w:pPr>
      <w:r>
        <w:rPr>
          <w:rFonts w:ascii="Arial" w:cs="Arial" w:eastAsia="Arial" w:hAnsi="Arial"/>
          <w:sz w:val="15"/>
          <w:szCs w:val="15"/>
          <w:color w:val="auto"/>
        </w:rPr>
        <w:t>The New York Agency had a pledged deposit with the New York State Banking Department, as required by law since March 1994.</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5"/>
        </w:numPr>
        <w:rPr>
          <w:rFonts w:ascii="Arial" w:cs="Arial" w:eastAsia="Arial" w:hAnsi="Arial"/>
          <w:sz w:val="24"/>
          <w:szCs w:val="24"/>
          <w:color w:val="auto"/>
          <w:vertAlign w:val="superscript"/>
        </w:rPr>
      </w:pPr>
      <w:r>
        <w:rPr>
          <w:rFonts w:ascii="Arial" w:cs="Arial" w:eastAsia="Arial" w:hAnsi="Arial"/>
          <w:sz w:val="15"/>
          <w:szCs w:val="15"/>
          <w:color w:val="auto"/>
        </w:rPr>
        <w:t>The Bank had pledged deposits to secure derivative financial instruments transactions.</w:t>
      </w: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type w:val="continuous"/>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at fair value through other comprehensive income “FVOCI”</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financial instruments at fair value through other comprehensive income by country risk and type of debt are as follows:</w:t>
      </w:r>
    </w:p>
    <w:p>
      <w:pPr>
        <w:spacing w:after="0" w:line="116"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Equity Investment at FVOCI</w:t>
      </w:r>
    </w:p>
    <w:p>
      <w:pPr>
        <w:spacing w:after="0" w:line="235" w:lineRule="exact"/>
        <w:rPr>
          <w:sz w:val="20"/>
          <w:szCs w:val="20"/>
          <w:color w:val="auto"/>
        </w:rPr>
      </w:pPr>
    </w:p>
    <w:tbl>
      <w:tblPr>
        <w:tblLayout w:type="fixed"/>
        <w:tblInd w:w="660" w:type="dxa"/>
        <w:tblCellMar>
          <w:top w:w="0" w:type="dxa"/>
          <w:left w:w="0" w:type="dxa"/>
          <w:bottom w:w="0" w:type="dxa"/>
          <w:right w:w="0" w:type="dxa"/>
        </w:tblCellMar>
      </w:tblPr>
      <w:tr>
        <w:trPr>
          <w:trHeight w:val="234"/>
        </w:trPr>
        <w:tc>
          <w:tcPr>
            <w:tcW w:w="1460" w:type="dxa"/>
            <w:vAlign w:val="bottom"/>
          </w:tcPr>
          <w:p>
            <w:pPr>
              <w:spacing w:after="0"/>
              <w:rPr>
                <w:sz w:val="20"/>
                <w:szCs w:val="20"/>
                <w:color w:val="auto"/>
              </w:rPr>
            </w:pPr>
          </w:p>
        </w:tc>
        <w:tc>
          <w:tcPr>
            <w:tcW w:w="36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720" w:type="dxa"/>
            <w:vAlign w:val="bottom"/>
            <w:tcBorders>
              <w:bottom w:val="single" w:sz="8" w:color="auto"/>
            </w:tcBorders>
            <w:gridSpan w:val="5"/>
          </w:tcPr>
          <w:p>
            <w:pPr>
              <w:ind w:left="480"/>
              <w:spacing w:after="0"/>
              <w:rPr>
                <w:sz w:val="20"/>
                <w:szCs w:val="20"/>
                <w:color w:val="auto"/>
              </w:rPr>
            </w:pPr>
            <w:r>
              <w:rPr>
                <w:rFonts w:ascii="Arial" w:cs="Arial" w:eastAsia="Arial" w:hAnsi="Arial"/>
                <w:sz w:val="18"/>
                <w:szCs w:val="18"/>
                <w:b w:val="1"/>
                <w:bCs w:val="1"/>
                <w:color w:val="auto"/>
              </w:rPr>
              <w:t>September 30, 2018</w:t>
            </w:r>
          </w:p>
        </w:tc>
        <w:tc>
          <w:tcPr>
            <w:tcW w:w="114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146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740" w:type="dxa"/>
            <w:vAlign w:val="bottom"/>
            <w:tcBorders>
              <w:bottom w:val="single" w:sz="8" w:color="auto"/>
            </w:tcBorders>
            <w:gridSpan w:val="3"/>
          </w:tcPr>
          <w:p>
            <w:pPr>
              <w:ind w:left="860"/>
              <w:spacing w:after="0"/>
              <w:rPr>
                <w:sz w:val="20"/>
                <w:szCs w:val="20"/>
                <w:color w:val="auto"/>
              </w:rPr>
            </w:pPr>
            <w:r>
              <w:rPr>
                <w:rFonts w:ascii="Arial" w:cs="Arial" w:eastAsia="Arial" w:hAnsi="Arial"/>
                <w:sz w:val="18"/>
                <w:szCs w:val="18"/>
                <w:b w:val="1"/>
                <w:bCs w:val="1"/>
                <w:color w:val="auto"/>
                <w:w w:val="94"/>
              </w:rPr>
              <w:t>Unrealized</w:t>
            </w:r>
          </w:p>
        </w:tc>
        <w:tc>
          <w:tcPr>
            <w:tcW w:w="8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146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Amortized cost</w:t>
            </w:r>
          </w:p>
        </w:tc>
        <w:tc>
          <w:tcPr>
            <w:tcW w:w="17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800" w:type="dxa"/>
            <w:vAlign w:val="bottom"/>
          </w:tcPr>
          <w:p>
            <w:pPr>
              <w:jc w:val="right"/>
              <w:ind w:right="310"/>
              <w:spacing w:after="0"/>
              <w:rPr>
                <w:sz w:val="20"/>
                <w:szCs w:val="20"/>
                <w:color w:val="auto"/>
              </w:rPr>
            </w:pPr>
            <w:r>
              <w:rPr>
                <w:rFonts w:ascii="Arial" w:cs="Arial" w:eastAsia="Arial" w:hAnsi="Arial"/>
                <w:sz w:val="18"/>
                <w:szCs w:val="18"/>
                <w:b w:val="1"/>
                <w:bCs w:val="1"/>
                <w:color w:val="auto"/>
                <w:w w:val="90"/>
              </w:rPr>
              <w:t>Loss</w:t>
            </w:r>
          </w:p>
        </w:tc>
        <w:tc>
          <w:tcPr>
            <w:tcW w:w="180" w:type="dxa"/>
            <w:vAlign w:val="bottom"/>
          </w:tcPr>
          <w:p>
            <w:pPr>
              <w:spacing w:after="0"/>
              <w:rPr>
                <w:sz w:val="19"/>
                <w:szCs w:val="19"/>
                <w:color w:val="auto"/>
              </w:rPr>
            </w:pPr>
          </w:p>
        </w:tc>
        <w:tc>
          <w:tcPr>
            <w:tcW w:w="1220" w:type="dxa"/>
            <w:vAlign w:val="bottom"/>
            <w:gridSpan w:val="2"/>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37"/>
        </w:trPr>
        <w:tc>
          <w:tcPr>
            <w:tcW w:w="5140" w:type="dxa"/>
            <w:vAlign w:val="bottom"/>
            <w:tcBorders>
              <w:top w:val="single" w:sz="8" w:color="CCEEFF"/>
            </w:tcBorders>
            <w:gridSpan w:val="2"/>
            <w:shd w:val="clear" w:color="auto" w:fill="CCEEFF"/>
          </w:tcPr>
          <w:p>
            <w:pPr>
              <w:spacing w:after="0" w:line="236" w:lineRule="exact"/>
              <w:rPr>
                <w:sz w:val="20"/>
                <w:szCs w:val="20"/>
                <w:color w:val="auto"/>
              </w:rPr>
            </w:pPr>
            <w:r>
              <w:rPr>
                <w:rFonts w:ascii="Arial" w:cs="Arial" w:eastAsia="Arial" w:hAnsi="Arial"/>
                <w:sz w:val="17"/>
                <w:szCs w:val="17"/>
                <w:b w:val="1"/>
                <w:bCs w:val="1"/>
                <w:color w:val="auto"/>
              </w:rPr>
              <w:t xml:space="preserve">Equity investments </w:t>
            </w:r>
            <w:r>
              <w:rPr>
                <w:rFonts w:ascii="Arial" w:cs="Arial" w:eastAsia="Arial" w:hAnsi="Arial"/>
                <w:sz w:val="27"/>
                <w:szCs w:val="27"/>
                <w:b w:val="1"/>
                <w:bCs w:val="1"/>
                <w:color w:val="auto"/>
                <w:vertAlign w:val="superscript"/>
              </w:rPr>
              <w:t>(1)</w:t>
            </w:r>
          </w:p>
        </w:tc>
        <w:tc>
          <w:tcPr>
            <w:tcW w:w="1200" w:type="dxa"/>
            <w:vAlign w:val="bottom"/>
            <w:tcBorders>
              <w:top w:val="single" w:sz="8" w:color="auto"/>
            </w:tcBorders>
            <w:shd w:val="clear" w:color="auto" w:fill="CCEEFF"/>
          </w:tcPr>
          <w:p>
            <w:pPr>
              <w:spacing w:after="0"/>
              <w:rPr>
                <w:sz w:val="20"/>
                <w:szCs w:val="20"/>
                <w:color w:val="auto"/>
              </w:rPr>
            </w:pPr>
          </w:p>
        </w:tc>
        <w:tc>
          <w:tcPr>
            <w:tcW w:w="200" w:type="dxa"/>
            <w:vAlign w:val="bottom"/>
            <w:tcBorders>
              <w:top w:val="single" w:sz="8" w:color="CCEEFF"/>
            </w:tcBorders>
            <w:shd w:val="clear" w:color="auto" w:fill="CCEEFF"/>
          </w:tcPr>
          <w:p>
            <w:pPr>
              <w:spacing w:after="0"/>
              <w:rPr>
                <w:sz w:val="20"/>
                <w:szCs w:val="20"/>
                <w:color w:val="auto"/>
              </w:rPr>
            </w:pPr>
          </w:p>
        </w:tc>
        <w:tc>
          <w:tcPr>
            <w:tcW w:w="116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360" w:type="dxa"/>
            <w:vAlign w:val="bottom"/>
            <w:tcBorders>
              <w:top w:val="single" w:sz="8" w:color="auto"/>
            </w:tcBorders>
            <w:shd w:val="clear" w:color="auto" w:fill="CCEEFF"/>
          </w:tcPr>
          <w:p>
            <w:pPr>
              <w:spacing w:after="0"/>
              <w:rPr>
                <w:sz w:val="20"/>
                <w:szCs w:val="20"/>
                <w:color w:val="auto"/>
              </w:rPr>
            </w:pPr>
          </w:p>
        </w:tc>
        <w:tc>
          <w:tcPr>
            <w:tcW w:w="800" w:type="dxa"/>
            <w:vAlign w:val="bottom"/>
            <w:tcBorders>
              <w:top w:val="single" w:sz="8" w:color="auto"/>
            </w:tcBorders>
            <w:shd w:val="clear" w:color="auto" w:fill="CCEEFF"/>
          </w:tcPr>
          <w:p>
            <w:pPr>
              <w:spacing w:after="0"/>
              <w:rPr>
                <w:sz w:val="20"/>
                <w:szCs w:val="20"/>
                <w:color w:val="auto"/>
              </w:rPr>
            </w:pPr>
          </w:p>
        </w:tc>
        <w:tc>
          <w:tcPr>
            <w:tcW w:w="180" w:type="dxa"/>
            <w:vAlign w:val="bottom"/>
            <w:tcBorders>
              <w:top w:val="single" w:sz="8" w:color="CCEEFF"/>
            </w:tcBorders>
            <w:shd w:val="clear" w:color="auto" w:fill="CCEEFF"/>
          </w:tcPr>
          <w:p>
            <w:pPr>
              <w:spacing w:after="0"/>
              <w:rPr>
                <w:sz w:val="20"/>
                <w:szCs w:val="20"/>
                <w:color w:val="auto"/>
              </w:rPr>
            </w:pPr>
          </w:p>
        </w:tc>
        <w:tc>
          <w:tcPr>
            <w:tcW w:w="1140" w:type="dxa"/>
            <w:vAlign w:val="bottom"/>
            <w:tcBorders>
              <w:top w:val="single" w:sz="8" w:color="auto"/>
            </w:tcBorders>
            <w:shd w:val="clear" w:color="auto" w:fill="CCEEFF"/>
          </w:tcPr>
          <w:p>
            <w:pPr>
              <w:spacing w:after="0"/>
              <w:rPr>
                <w:sz w:val="20"/>
                <w:szCs w:val="20"/>
                <w:color w:val="auto"/>
              </w:rPr>
            </w:pPr>
          </w:p>
        </w:tc>
        <w:tc>
          <w:tcPr>
            <w:tcW w:w="80" w:type="dxa"/>
            <w:vAlign w:val="bottom"/>
            <w:tcBorders>
              <w:top w:val="single" w:sz="8" w:color="CCEEFF"/>
            </w:tcBorders>
            <w:shd w:val="clear" w:color="auto" w:fill="CCEEFF"/>
          </w:tcPr>
          <w:p>
            <w:pPr>
              <w:spacing w:after="0"/>
              <w:rPr>
                <w:sz w:val="20"/>
                <w:szCs w:val="20"/>
                <w:color w:val="auto"/>
              </w:rPr>
            </w:pPr>
          </w:p>
        </w:tc>
      </w:tr>
      <w:tr>
        <w:trPr>
          <w:trHeight w:val="230"/>
        </w:trPr>
        <w:tc>
          <w:tcPr>
            <w:tcW w:w="5140" w:type="dxa"/>
            <w:vAlign w:val="bottom"/>
            <w:gridSpan w:val="2"/>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8,402</w:t>
            </w:r>
          </w:p>
        </w:tc>
        <w:tc>
          <w:tcPr>
            <w:tcW w:w="1380" w:type="dxa"/>
            <w:vAlign w:val="bottom"/>
            <w:gridSpan w:val="2"/>
          </w:tcPr>
          <w:p>
            <w:pPr>
              <w:ind w:left="760"/>
              <w:spacing w:after="0"/>
              <w:rPr>
                <w:sz w:val="20"/>
                <w:szCs w:val="20"/>
                <w:color w:val="auto"/>
              </w:rPr>
            </w:pPr>
            <w:r>
              <w:rPr>
                <w:rFonts w:ascii="Arial" w:cs="Arial" w:eastAsia="Arial" w:hAnsi="Arial"/>
                <w:sz w:val="18"/>
                <w:szCs w:val="18"/>
                <w:color w:val="auto"/>
              </w:rPr>
              <w:t>7,405</w:t>
            </w:r>
          </w:p>
        </w:tc>
        <w:tc>
          <w:tcPr>
            <w:tcW w:w="360" w:type="dxa"/>
            <w:vAlign w:val="bottom"/>
          </w:tcPr>
          <w:p>
            <w:pPr>
              <w:spacing w:after="0"/>
              <w:rPr>
                <w:sz w:val="19"/>
                <w:szCs w:val="19"/>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10,280</w:t>
            </w:r>
          </w:p>
        </w:tc>
        <w:tc>
          <w:tcPr>
            <w:tcW w:w="1220" w:type="dxa"/>
            <w:vAlign w:val="bottom"/>
            <w:gridSpan w:val="2"/>
          </w:tcPr>
          <w:p>
            <w:pPr>
              <w:jc w:val="right"/>
              <w:ind w:right="80"/>
              <w:spacing w:after="0"/>
              <w:rPr>
                <w:sz w:val="20"/>
                <w:szCs w:val="20"/>
                <w:color w:val="auto"/>
              </w:rPr>
            </w:pPr>
            <w:r>
              <w:rPr>
                <w:rFonts w:ascii="Arial" w:cs="Arial" w:eastAsia="Arial" w:hAnsi="Arial"/>
                <w:sz w:val="18"/>
                <w:szCs w:val="18"/>
                <w:color w:val="auto"/>
              </w:rPr>
              <w:t>5,527</w:t>
            </w:r>
          </w:p>
        </w:tc>
      </w:tr>
      <w:tr>
        <w:trPr>
          <w:trHeight w:val="210"/>
        </w:trPr>
        <w:tc>
          <w:tcPr>
            <w:tcW w:w="1460" w:type="dxa"/>
            <w:vAlign w:val="bottom"/>
            <w:tcBorders>
              <w:top w:val="single" w:sz="8" w:color="CCEEFF"/>
            </w:tcBorders>
            <w:shd w:val="clear" w:color="auto" w:fill="CCEEFF"/>
          </w:tcPr>
          <w:p>
            <w:pPr>
              <w:spacing w:after="0"/>
              <w:rPr>
                <w:sz w:val="18"/>
                <w:szCs w:val="18"/>
                <w:color w:val="auto"/>
              </w:rPr>
            </w:pPr>
          </w:p>
        </w:tc>
        <w:tc>
          <w:tcPr>
            <w:tcW w:w="36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ind w:left="760"/>
              <w:spacing w:after="0"/>
              <w:rPr>
                <w:sz w:val="20"/>
                <w:szCs w:val="20"/>
                <w:color w:val="auto"/>
              </w:rPr>
            </w:pPr>
            <w:r>
              <w:rPr>
                <w:rFonts w:ascii="Arial" w:cs="Arial" w:eastAsia="Arial" w:hAnsi="Arial"/>
                <w:sz w:val="18"/>
                <w:szCs w:val="18"/>
                <w:color w:val="auto"/>
                <w:w w:val="84"/>
              </w:rPr>
              <w:t>7,405</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10,280</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5,527</w:t>
            </w:r>
          </w:p>
        </w:tc>
        <w:tc>
          <w:tcPr>
            <w:tcW w:w="80" w:type="dxa"/>
            <w:vAlign w:val="bottom"/>
            <w:tcBorders>
              <w:top w:val="single" w:sz="8" w:color="CCEEFF"/>
            </w:tcBorders>
            <w:shd w:val="clear" w:color="auto" w:fill="CCEEFF"/>
          </w:tcPr>
          <w:p>
            <w:pPr>
              <w:spacing w:after="0"/>
              <w:rPr>
                <w:sz w:val="18"/>
                <w:szCs w:val="18"/>
                <w:color w:val="auto"/>
              </w:rPr>
            </w:pPr>
          </w:p>
        </w:tc>
      </w:tr>
      <w:tr>
        <w:trPr>
          <w:trHeight w:val="385"/>
        </w:trPr>
        <w:tc>
          <w:tcPr>
            <w:tcW w:w="5140" w:type="dxa"/>
            <w:vAlign w:val="bottom"/>
            <w:gridSpan w:val="2"/>
          </w:tcPr>
          <w:p>
            <w:pPr>
              <w:spacing w:after="0"/>
              <w:rPr>
                <w:sz w:val="20"/>
                <w:szCs w:val="20"/>
                <w:color w:val="auto"/>
              </w:rPr>
            </w:pPr>
            <w:r>
              <w:rPr>
                <w:rFonts w:ascii="Arial" w:cs="Arial" w:eastAsia="Arial" w:hAnsi="Arial"/>
                <w:sz w:val="18"/>
                <w:szCs w:val="18"/>
                <w:color w:val="auto"/>
              </w:rPr>
              <w:t>Securities at FVOCI</w:t>
            </w: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0"/>
        </w:trPr>
        <w:tc>
          <w:tcPr>
            <w:tcW w:w="1460" w:type="dxa"/>
            <w:vAlign w:val="bottom"/>
            <w:shd w:val="clear" w:color="auto" w:fill="000000"/>
          </w:tcPr>
          <w:p>
            <w:pPr>
              <w:spacing w:after="0" w:line="20" w:lineRule="exact"/>
              <w:rPr>
                <w:sz w:val="1"/>
                <w:szCs w:val="1"/>
                <w:color w:val="auto"/>
              </w:rPr>
            </w:pPr>
          </w:p>
        </w:tc>
        <w:tc>
          <w:tcPr>
            <w:tcW w:w="36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38" w:lineRule="exact"/>
        <w:rPr>
          <w:sz w:val="20"/>
          <w:szCs w:val="20"/>
          <w:color w:val="auto"/>
        </w:rPr>
      </w:pPr>
    </w:p>
    <w:tbl>
      <w:tblPr>
        <w:tblLayout w:type="fixed"/>
        <w:tblInd w:w="660" w:type="dxa"/>
        <w:tblCellMar>
          <w:top w:w="0" w:type="dxa"/>
          <w:left w:w="0" w:type="dxa"/>
          <w:bottom w:w="0" w:type="dxa"/>
          <w:right w:w="0" w:type="dxa"/>
        </w:tblCellMar>
      </w:tblPr>
      <w:tr>
        <w:trPr>
          <w:trHeight w:val="234"/>
        </w:trPr>
        <w:tc>
          <w:tcPr>
            <w:tcW w:w="14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720" w:type="dxa"/>
            <w:vAlign w:val="bottom"/>
            <w:tcBorders>
              <w:bottom w:val="single" w:sz="8" w:color="auto"/>
            </w:tcBorders>
            <w:gridSpan w:val="5"/>
          </w:tcPr>
          <w:p>
            <w:pPr>
              <w:ind w:left="480"/>
              <w:spacing w:after="0"/>
              <w:rPr>
                <w:sz w:val="20"/>
                <w:szCs w:val="20"/>
                <w:color w:val="auto"/>
              </w:rPr>
            </w:pPr>
            <w:r>
              <w:rPr>
                <w:rFonts w:ascii="Arial" w:cs="Arial" w:eastAsia="Arial" w:hAnsi="Arial"/>
                <w:sz w:val="18"/>
                <w:szCs w:val="18"/>
                <w:b w:val="1"/>
                <w:bCs w:val="1"/>
                <w:color w:val="auto"/>
              </w:rPr>
              <w:t>September 30, 2018</w:t>
            </w:r>
          </w:p>
        </w:tc>
        <w:tc>
          <w:tcPr>
            <w:tcW w:w="11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740" w:type="dxa"/>
            <w:vAlign w:val="bottom"/>
            <w:tcBorders>
              <w:bottom w:val="single" w:sz="8" w:color="auto"/>
            </w:tcBorders>
            <w:gridSpan w:val="3"/>
          </w:tcPr>
          <w:p>
            <w:pPr>
              <w:ind w:left="860"/>
              <w:spacing w:after="0"/>
              <w:rPr>
                <w:sz w:val="20"/>
                <w:szCs w:val="20"/>
                <w:color w:val="auto"/>
              </w:rPr>
            </w:pPr>
            <w:r>
              <w:rPr>
                <w:rFonts w:ascii="Arial" w:cs="Arial" w:eastAsia="Arial" w:hAnsi="Arial"/>
                <w:sz w:val="18"/>
                <w:szCs w:val="18"/>
                <w:b w:val="1"/>
                <w:bCs w:val="1"/>
                <w:color w:val="auto"/>
                <w:w w:val="94"/>
              </w:rPr>
              <w:t>Unrealized</w:t>
            </w:r>
          </w:p>
        </w:tc>
        <w:tc>
          <w:tcPr>
            <w:tcW w:w="8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Amortized cost</w:t>
            </w:r>
          </w:p>
        </w:tc>
        <w:tc>
          <w:tcPr>
            <w:tcW w:w="17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800" w:type="dxa"/>
            <w:vAlign w:val="bottom"/>
          </w:tcPr>
          <w:p>
            <w:pPr>
              <w:jc w:val="right"/>
              <w:ind w:right="310"/>
              <w:spacing w:after="0"/>
              <w:rPr>
                <w:sz w:val="20"/>
                <w:szCs w:val="20"/>
                <w:color w:val="auto"/>
              </w:rPr>
            </w:pPr>
            <w:r>
              <w:rPr>
                <w:rFonts w:ascii="Arial" w:cs="Arial" w:eastAsia="Arial" w:hAnsi="Arial"/>
                <w:sz w:val="18"/>
                <w:szCs w:val="18"/>
                <w:b w:val="1"/>
                <w:bCs w:val="1"/>
                <w:color w:val="auto"/>
                <w:w w:val="90"/>
              </w:rPr>
              <w:t>Loss</w:t>
            </w:r>
          </w:p>
        </w:tc>
        <w:tc>
          <w:tcPr>
            <w:tcW w:w="180" w:type="dxa"/>
            <w:vAlign w:val="bottom"/>
          </w:tcPr>
          <w:p>
            <w:pPr>
              <w:spacing w:after="0"/>
              <w:rPr>
                <w:sz w:val="19"/>
                <w:szCs w:val="19"/>
                <w:color w:val="auto"/>
              </w:rPr>
            </w:pPr>
          </w:p>
        </w:tc>
        <w:tc>
          <w:tcPr>
            <w:tcW w:w="122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1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gridSpan w:val="3"/>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2,946</w:t>
            </w:r>
          </w:p>
        </w:tc>
        <w:tc>
          <w:tcPr>
            <w:tcW w:w="1380" w:type="dxa"/>
            <w:vAlign w:val="bottom"/>
            <w:gridSpan w:val="2"/>
          </w:tcPr>
          <w:p>
            <w:pPr>
              <w:ind w:left="1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135</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2,811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5,147</w:t>
            </w:r>
          </w:p>
        </w:tc>
        <w:tc>
          <w:tcPr>
            <w:tcW w:w="1380" w:type="dxa"/>
            <w:vAlign w:val="bottom"/>
            <w:gridSpan w:val="2"/>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3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136</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5,011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140" w:type="dxa"/>
            <w:vAlign w:val="bottom"/>
            <w:gridSpan w:val="3"/>
          </w:tcPr>
          <w:p>
            <w:pPr>
              <w:ind w:left="160"/>
              <w:spacing w:after="0"/>
              <w:rPr>
                <w:sz w:val="20"/>
                <w:szCs w:val="20"/>
                <w:color w:val="auto"/>
              </w:rPr>
            </w:pPr>
            <w:r>
              <w:rPr>
                <w:rFonts w:ascii="Arial" w:cs="Arial" w:eastAsia="Arial" w:hAnsi="Arial"/>
                <w:sz w:val="18"/>
                <w:szCs w:val="18"/>
                <w:color w:val="auto"/>
              </w:rPr>
              <w:t>Trinidad and Tobago</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8,501</w:t>
            </w:r>
          </w:p>
        </w:tc>
        <w:tc>
          <w:tcPr>
            <w:tcW w:w="1380" w:type="dxa"/>
            <w:vAlign w:val="bottom"/>
            <w:gridSpan w:val="2"/>
          </w:tcPr>
          <w:p>
            <w:pPr>
              <w:ind w:left="1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9"/>
                <w:szCs w:val="19"/>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879</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7,622</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46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30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16,594</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ind w:left="110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1,150</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15,444</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24,996</w:t>
            </w:r>
          </w:p>
        </w:tc>
        <w:tc>
          <w:tcPr>
            <w:tcW w:w="200" w:type="dxa"/>
            <w:vAlign w:val="bottom"/>
          </w:tcPr>
          <w:p>
            <w:pPr>
              <w:spacing w:after="0"/>
              <w:rPr>
                <w:sz w:val="19"/>
                <w:szCs w:val="19"/>
                <w:color w:val="auto"/>
              </w:rPr>
            </w:pPr>
          </w:p>
        </w:tc>
        <w:tc>
          <w:tcPr>
            <w:tcW w:w="1160" w:type="dxa"/>
            <w:vAlign w:val="bottom"/>
            <w:tcBorders>
              <w:bottom w:val="single" w:sz="8" w:color="auto"/>
            </w:tcBorders>
          </w:tcPr>
          <w:p>
            <w:pPr>
              <w:ind w:left="760"/>
              <w:spacing w:after="0"/>
              <w:rPr>
                <w:sz w:val="20"/>
                <w:szCs w:val="20"/>
                <w:color w:val="auto"/>
              </w:rPr>
            </w:pPr>
            <w:r>
              <w:rPr>
                <w:rFonts w:ascii="Arial" w:cs="Arial" w:eastAsia="Arial" w:hAnsi="Arial"/>
                <w:sz w:val="18"/>
                <w:szCs w:val="18"/>
                <w:b w:val="1"/>
                <w:bCs w:val="1"/>
                <w:color w:val="auto"/>
                <w:w w:val="84"/>
              </w:rPr>
              <w:t>7,405</w:t>
            </w:r>
          </w:p>
        </w:tc>
        <w:tc>
          <w:tcPr>
            <w:tcW w:w="220" w:type="dxa"/>
            <w:vAlign w:val="bottom"/>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11,430</w:t>
            </w:r>
          </w:p>
        </w:tc>
        <w:tc>
          <w:tcPr>
            <w:tcW w:w="18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20,971</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140" w:type="dxa"/>
            <w:vAlign w:val="bottom"/>
            <w:gridSpan w:val="3"/>
            <w:vMerge w:val="restart"/>
          </w:tcPr>
          <w:p>
            <w:pPr>
              <w:spacing w:after="0"/>
              <w:rPr>
                <w:sz w:val="20"/>
                <w:szCs w:val="20"/>
                <w:color w:val="auto"/>
              </w:rPr>
            </w:pPr>
            <w:r>
              <w:rPr>
                <w:rFonts w:ascii="Arial" w:cs="Arial" w:eastAsia="Arial" w:hAnsi="Arial"/>
                <w:sz w:val="18"/>
                <w:szCs w:val="18"/>
                <w:color w:val="auto"/>
              </w:rPr>
              <w:t>Equity Investment at FVOCI</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5140" w:type="dxa"/>
            <w:vAlign w:val="bottom"/>
            <w:gridSpan w:val="3"/>
            <w:vMerge w:val="continue"/>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1460" w:type="dxa"/>
            <w:vAlign w:val="bottom"/>
            <w:tcBorders>
              <w:top w:val="single" w:sz="8" w:color="auto"/>
            </w:tcBorders>
          </w:tcPr>
          <w:p>
            <w:pPr>
              <w:spacing w:after="0"/>
              <w:rPr>
                <w:sz w:val="24"/>
                <w:szCs w:val="24"/>
                <w:color w:val="auto"/>
              </w:rPr>
            </w:pPr>
          </w:p>
        </w:tc>
        <w:tc>
          <w:tcPr>
            <w:tcW w:w="620" w:type="dxa"/>
            <w:vAlign w:val="bottom"/>
            <w:tcBorders>
              <w:top w:val="single" w:sz="8" w:color="auto"/>
            </w:tcBorders>
          </w:tcPr>
          <w:p>
            <w:pPr>
              <w:spacing w:after="0"/>
              <w:rPr>
                <w:sz w:val="24"/>
                <w:szCs w:val="24"/>
                <w:color w:val="auto"/>
              </w:rPr>
            </w:pPr>
          </w:p>
        </w:tc>
        <w:tc>
          <w:tcPr>
            <w:tcW w:w="306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gridSpan w:val="5"/>
          </w:tcPr>
          <w:p>
            <w:pPr>
              <w:ind w:left="500"/>
              <w:spacing w:after="0"/>
              <w:rPr>
                <w:sz w:val="20"/>
                <w:szCs w:val="20"/>
                <w:color w:val="auto"/>
              </w:rPr>
            </w:pPr>
            <w:r>
              <w:rPr>
                <w:rFonts w:ascii="Arial" w:cs="Arial" w:eastAsia="Arial" w:hAnsi="Arial"/>
                <w:sz w:val="18"/>
                <w:szCs w:val="18"/>
                <w:b w:val="1"/>
                <w:bCs w:val="1"/>
                <w:color w:val="auto"/>
              </w:rPr>
              <w:t>December 31, 2017</w:t>
            </w:r>
          </w:p>
        </w:tc>
        <w:tc>
          <w:tcPr>
            <w:tcW w:w="11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740" w:type="dxa"/>
            <w:vAlign w:val="bottom"/>
            <w:tcBorders>
              <w:bottom w:val="single" w:sz="8" w:color="auto"/>
            </w:tcBorders>
            <w:gridSpan w:val="3"/>
          </w:tcPr>
          <w:p>
            <w:pPr>
              <w:ind w:left="860"/>
              <w:spacing w:after="0"/>
              <w:rPr>
                <w:sz w:val="20"/>
                <w:szCs w:val="20"/>
                <w:color w:val="auto"/>
              </w:rPr>
            </w:pPr>
            <w:r>
              <w:rPr>
                <w:rFonts w:ascii="Arial" w:cs="Arial" w:eastAsia="Arial" w:hAnsi="Arial"/>
                <w:sz w:val="18"/>
                <w:szCs w:val="18"/>
                <w:b w:val="1"/>
                <w:bCs w:val="1"/>
                <w:color w:val="auto"/>
                <w:w w:val="94"/>
              </w:rPr>
              <w:t>Unrealized</w:t>
            </w:r>
          </w:p>
        </w:tc>
        <w:tc>
          <w:tcPr>
            <w:tcW w:w="8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Amortized cost</w:t>
            </w:r>
          </w:p>
        </w:tc>
        <w:tc>
          <w:tcPr>
            <w:tcW w:w="17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800" w:type="dxa"/>
            <w:vAlign w:val="bottom"/>
          </w:tcPr>
          <w:p>
            <w:pPr>
              <w:jc w:val="right"/>
              <w:ind w:right="310"/>
              <w:spacing w:after="0"/>
              <w:rPr>
                <w:sz w:val="20"/>
                <w:szCs w:val="20"/>
                <w:color w:val="auto"/>
              </w:rPr>
            </w:pPr>
            <w:r>
              <w:rPr>
                <w:rFonts w:ascii="Arial" w:cs="Arial" w:eastAsia="Arial" w:hAnsi="Arial"/>
                <w:sz w:val="18"/>
                <w:szCs w:val="18"/>
                <w:b w:val="1"/>
                <w:bCs w:val="1"/>
                <w:color w:val="auto"/>
                <w:w w:val="90"/>
              </w:rPr>
              <w:t>Loss</w:t>
            </w:r>
          </w:p>
        </w:tc>
        <w:tc>
          <w:tcPr>
            <w:tcW w:w="180" w:type="dxa"/>
            <w:vAlign w:val="bottom"/>
          </w:tcPr>
          <w:p>
            <w:pPr>
              <w:spacing w:after="0"/>
              <w:rPr>
                <w:sz w:val="19"/>
                <w:szCs w:val="19"/>
                <w:color w:val="auto"/>
              </w:rPr>
            </w:pPr>
          </w:p>
        </w:tc>
        <w:tc>
          <w:tcPr>
            <w:tcW w:w="122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37"/>
        </w:trPr>
        <w:tc>
          <w:tcPr>
            <w:tcW w:w="5140" w:type="dxa"/>
            <w:vAlign w:val="bottom"/>
            <w:tcBorders>
              <w:top w:val="single" w:sz="8" w:color="CCEEFF"/>
            </w:tcBorders>
            <w:gridSpan w:val="3"/>
            <w:shd w:val="clear" w:color="auto" w:fill="CCEEFF"/>
          </w:tcPr>
          <w:p>
            <w:pPr>
              <w:spacing w:after="0" w:line="236" w:lineRule="exact"/>
              <w:rPr>
                <w:sz w:val="20"/>
                <w:szCs w:val="20"/>
                <w:color w:val="auto"/>
              </w:rPr>
            </w:pPr>
            <w:r>
              <w:rPr>
                <w:rFonts w:ascii="Arial" w:cs="Arial" w:eastAsia="Arial" w:hAnsi="Arial"/>
                <w:sz w:val="17"/>
                <w:szCs w:val="17"/>
                <w:b w:val="1"/>
                <w:bCs w:val="1"/>
                <w:color w:val="auto"/>
              </w:rPr>
              <w:t xml:space="preserve">Equity investments </w:t>
            </w:r>
            <w:r>
              <w:rPr>
                <w:rFonts w:ascii="Arial" w:cs="Arial" w:eastAsia="Arial" w:hAnsi="Arial"/>
                <w:sz w:val="27"/>
                <w:szCs w:val="27"/>
                <w:b w:val="1"/>
                <w:bCs w:val="1"/>
                <w:color w:val="auto"/>
                <w:vertAlign w:val="superscript"/>
              </w:rPr>
              <w:t>(1)</w:t>
            </w:r>
          </w:p>
        </w:tc>
        <w:tc>
          <w:tcPr>
            <w:tcW w:w="1200" w:type="dxa"/>
            <w:vAlign w:val="bottom"/>
            <w:tcBorders>
              <w:top w:val="single" w:sz="8" w:color="auto"/>
            </w:tcBorders>
            <w:shd w:val="clear" w:color="auto" w:fill="CCEEFF"/>
          </w:tcPr>
          <w:p>
            <w:pPr>
              <w:spacing w:after="0"/>
              <w:rPr>
                <w:sz w:val="20"/>
                <w:szCs w:val="20"/>
                <w:color w:val="auto"/>
              </w:rPr>
            </w:pPr>
          </w:p>
        </w:tc>
        <w:tc>
          <w:tcPr>
            <w:tcW w:w="200" w:type="dxa"/>
            <w:vAlign w:val="bottom"/>
            <w:tcBorders>
              <w:top w:val="single" w:sz="8" w:color="CCEEFF"/>
            </w:tcBorders>
            <w:shd w:val="clear" w:color="auto" w:fill="CCEEFF"/>
          </w:tcPr>
          <w:p>
            <w:pPr>
              <w:spacing w:after="0"/>
              <w:rPr>
                <w:sz w:val="20"/>
                <w:szCs w:val="20"/>
                <w:color w:val="auto"/>
              </w:rPr>
            </w:pPr>
          </w:p>
        </w:tc>
        <w:tc>
          <w:tcPr>
            <w:tcW w:w="116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360" w:type="dxa"/>
            <w:vAlign w:val="bottom"/>
            <w:tcBorders>
              <w:top w:val="single" w:sz="8" w:color="auto"/>
            </w:tcBorders>
            <w:shd w:val="clear" w:color="auto" w:fill="CCEEFF"/>
          </w:tcPr>
          <w:p>
            <w:pPr>
              <w:spacing w:after="0"/>
              <w:rPr>
                <w:sz w:val="20"/>
                <w:szCs w:val="20"/>
                <w:color w:val="auto"/>
              </w:rPr>
            </w:pPr>
          </w:p>
        </w:tc>
        <w:tc>
          <w:tcPr>
            <w:tcW w:w="800" w:type="dxa"/>
            <w:vAlign w:val="bottom"/>
            <w:tcBorders>
              <w:top w:val="single" w:sz="8" w:color="auto"/>
            </w:tcBorders>
            <w:shd w:val="clear" w:color="auto" w:fill="CCEEFF"/>
          </w:tcPr>
          <w:p>
            <w:pPr>
              <w:spacing w:after="0"/>
              <w:rPr>
                <w:sz w:val="20"/>
                <w:szCs w:val="20"/>
                <w:color w:val="auto"/>
              </w:rPr>
            </w:pPr>
          </w:p>
        </w:tc>
        <w:tc>
          <w:tcPr>
            <w:tcW w:w="180" w:type="dxa"/>
            <w:vAlign w:val="bottom"/>
            <w:tcBorders>
              <w:top w:val="single" w:sz="8" w:color="CCEEFF"/>
            </w:tcBorders>
            <w:shd w:val="clear" w:color="auto" w:fill="CCEEFF"/>
          </w:tcPr>
          <w:p>
            <w:pPr>
              <w:spacing w:after="0"/>
              <w:rPr>
                <w:sz w:val="20"/>
                <w:szCs w:val="20"/>
                <w:color w:val="auto"/>
              </w:rPr>
            </w:pPr>
          </w:p>
        </w:tc>
        <w:tc>
          <w:tcPr>
            <w:tcW w:w="1140" w:type="dxa"/>
            <w:vAlign w:val="bottom"/>
            <w:tcBorders>
              <w:top w:val="single" w:sz="8" w:color="auto"/>
            </w:tcBorders>
            <w:shd w:val="clear" w:color="auto" w:fill="CCEEFF"/>
          </w:tcPr>
          <w:p>
            <w:pPr>
              <w:spacing w:after="0"/>
              <w:rPr>
                <w:sz w:val="20"/>
                <w:szCs w:val="20"/>
                <w:color w:val="auto"/>
              </w:rPr>
            </w:pPr>
          </w:p>
        </w:tc>
        <w:tc>
          <w:tcPr>
            <w:tcW w:w="20" w:type="dxa"/>
            <w:vAlign w:val="bottom"/>
            <w:tcBorders>
              <w:top w:val="single" w:sz="8" w:color="CCEEFF"/>
            </w:tcBorders>
            <w:shd w:val="clear" w:color="auto" w:fill="CCEEFF"/>
          </w:tcPr>
          <w:p>
            <w:pPr>
              <w:spacing w:after="0"/>
              <w:rPr>
                <w:sz w:val="20"/>
                <w:szCs w:val="20"/>
                <w:color w:val="auto"/>
              </w:rPr>
            </w:pPr>
          </w:p>
        </w:tc>
        <w:tc>
          <w:tcPr>
            <w:tcW w:w="60" w:type="dxa"/>
            <w:vAlign w:val="bottom"/>
            <w:tcBorders>
              <w:top w:val="single" w:sz="8" w:color="CCEEFF"/>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140" w:type="dxa"/>
            <w:vAlign w:val="bottom"/>
            <w:gridSpan w:val="3"/>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8,630</w:t>
            </w:r>
          </w:p>
        </w:tc>
        <w:tc>
          <w:tcPr>
            <w:tcW w:w="1380" w:type="dxa"/>
            <w:vAlign w:val="bottom"/>
            <w:gridSpan w:val="2"/>
          </w:tcPr>
          <w:p>
            <w:pPr>
              <w:ind w:left="1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9"/>
                <w:szCs w:val="19"/>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228</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8,402</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46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30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8,630</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ind w:left="110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31"/>
        </w:trPr>
        <w:tc>
          <w:tcPr>
            <w:tcW w:w="5140" w:type="dxa"/>
            <w:vAlign w:val="bottom"/>
            <w:gridSpan w:val="3"/>
          </w:tcPr>
          <w:p>
            <w:pPr>
              <w:spacing w:after="0"/>
              <w:rPr>
                <w:sz w:val="20"/>
                <w:szCs w:val="20"/>
                <w:color w:val="auto"/>
              </w:rPr>
            </w:pPr>
            <w:r>
              <w:rPr>
                <w:rFonts w:ascii="Arial" w:cs="Arial" w:eastAsia="Arial" w:hAnsi="Arial"/>
                <w:sz w:val="18"/>
                <w:szCs w:val="18"/>
                <w:color w:val="auto"/>
              </w:rPr>
              <w:t>Securities at FVOCI</w:t>
            </w: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1460" w:type="dxa"/>
            <w:vAlign w:val="bottom"/>
            <w:tcBorders>
              <w:top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gridSpan w:val="5"/>
          </w:tcPr>
          <w:p>
            <w:pPr>
              <w:ind w:left="500"/>
              <w:spacing w:after="0"/>
              <w:rPr>
                <w:sz w:val="20"/>
                <w:szCs w:val="20"/>
                <w:color w:val="auto"/>
              </w:rPr>
            </w:pPr>
            <w:r>
              <w:rPr>
                <w:rFonts w:ascii="Arial" w:cs="Arial" w:eastAsia="Arial" w:hAnsi="Arial"/>
                <w:sz w:val="18"/>
                <w:szCs w:val="18"/>
                <w:b w:val="1"/>
                <w:bCs w:val="1"/>
                <w:color w:val="auto"/>
              </w:rPr>
              <w:t>December 31, 2017</w:t>
            </w:r>
          </w:p>
        </w:tc>
        <w:tc>
          <w:tcPr>
            <w:tcW w:w="11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740" w:type="dxa"/>
            <w:vAlign w:val="bottom"/>
            <w:tcBorders>
              <w:bottom w:val="single" w:sz="8" w:color="auto"/>
            </w:tcBorders>
            <w:gridSpan w:val="3"/>
          </w:tcPr>
          <w:p>
            <w:pPr>
              <w:ind w:left="860"/>
              <w:spacing w:after="0"/>
              <w:rPr>
                <w:sz w:val="20"/>
                <w:szCs w:val="20"/>
                <w:color w:val="auto"/>
              </w:rPr>
            </w:pPr>
            <w:r>
              <w:rPr>
                <w:rFonts w:ascii="Arial" w:cs="Arial" w:eastAsia="Arial" w:hAnsi="Arial"/>
                <w:sz w:val="18"/>
                <w:szCs w:val="18"/>
                <w:b w:val="1"/>
                <w:bCs w:val="1"/>
                <w:color w:val="auto"/>
                <w:w w:val="94"/>
              </w:rPr>
              <w:t>Unrealized</w:t>
            </w:r>
          </w:p>
        </w:tc>
        <w:tc>
          <w:tcPr>
            <w:tcW w:w="8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Amortized cost</w:t>
            </w:r>
          </w:p>
        </w:tc>
        <w:tc>
          <w:tcPr>
            <w:tcW w:w="17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800" w:type="dxa"/>
            <w:vAlign w:val="bottom"/>
          </w:tcPr>
          <w:p>
            <w:pPr>
              <w:jc w:val="right"/>
              <w:ind w:right="310"/>
              <w:spacing w:after="0"/>
              <w:rPr>
                <w:sz w:val="20"/>
                <w:szCs w:val="20"/>
                <w:color w:val="auto"/>
              </w:rPr>
            </w:pPr>
            <w:r>
              <w:rPr>
                <w:rFonts w:ascii="Arial" w:cs="Arial" w:eastAsia="Arial" w:hAnsi="Arial"/>
                <w:sz w:val="18"/>
                <w:szCs w:val="18"/>
                <w:b w:val="1"/>
                <w:bCs w:val="1"/>
                <w:color w:val="auto"/>
                <w:w w:val="90"/>
              </w:rPr>
              <w:t>Loss</w:t>
            </w:r>
          </w:p>
        </w:tc>
        <w:tc>
          <w:tcPr>
            <w:tcW w:w="180" w:type="dxa"/>
            <w:vAlign w:val="bottom"/>
          </w:tcPr>
          <w:p>
            <w:pPr>
              <w:spacing w:after="0"/>
              <w:rPr>
                <w:sz w:val="19"/>
                <w:szCs w:val="19"/>
                <w:color w:val="auto"/>
              </w:rPr>
            </w:pPr>
          </w:p>
        </w:tc>
        <w:tc>
          <w:tcPr>
            <w:tcW w:w="122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1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gridSpan w:val="3"/>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2,937</w:t>
            </w:r>
          </w:p>
        </w:tc>
        <w:tc>
          <w:tcPr>
            <w:tcW w:w="1380" w:type="dxa"/>
            <w:vAlign w:val="bottom"/>
            <w:gridSpan w:val="2"/>
          </w:tcPr>
          <w:p>
            <w:pPr>
              <w:ind w:left="980"/>
              <w:spacing w:after="0"/>
              <w:rPr>
                <w:sz w:val="20"/>
                <w:szCs w:val="20"/>
                <w:color w:val="auto"/>
              </w:rPr>
            </w:pPr>
            <w:r>
              <w:rPr>
                <w:rFonts w:ascii="Arial" w:cs="Arial" w:eastAsia="Arial" w:hAnsi="Arial"/>
                <w:sz w:val="18"/>
                <w:szCs w:val="18"/>
                <w:color w:val="auto"/>
              </w:rPr>
              <w:t>29</w:t>
            </w:r>
          </w:p>
        </w:tc>
        <w:tc>
          <w:tcPr>
            <w:tcW w:w="3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12</w:t>
            </w:r>
          </w:p>
        </w:tc>
        <w:tc>
          <w:tcPr>
            <w:tcW w:w="180" w:type="dxa"/>
            <w:vAlign w:val="bottom"/>
          </w:tcPr>
          <w:p>
            <w:pPr>
              <w:spacing w:after="0"/>
              <w:rPr>
                <w:sz w:val="18"/>
                <w:szCs w:val="18"/>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2,954</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5,182</w:t>
            </w:r>
          </w:p>
        </w:tc>
        <w:tc>
          <w:tcPr>
            <w:tcW w:w="1380" w:type="dxa"/>
            <w:vAlign w:val="bottom"/>
            <w:gridSpan w:val="2"/>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3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18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5,147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140" w:type="dxa"/>
            <w:vAlign w:val="bottom"/>
            <w:gridSpan w:val="3"/>
          </w:tcPr>
          <w:p>
            <w:pPr>
              <w:ind w:left="160"/>
              <w:spacing w:after="0"/>
              <w:rPr>
                <w:sz w:val="20"/>
                <w:szCs w:val="20"/>
                <w:color w:val="auto"/>
              </w:rPr>
            </w:pPr>
            <w:r>
              <w:rPr>
                <w:rFonts w:ascii="Arial" w:cs="Arial" w:eastAsia="Arial" w:hAnsi="Arial"/>
                <w:sz w:val="18"/>
                <w:szCs w:val="18"/>
                <w:color w:val="auto"/>
              </w:rPr>
              <w:t>Trinidad and Tobago</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8,843</w:t>
            </w:r>
          </w:p>
        </w:tc>
        <w:tc>
          <w:tcPr>
            <w:tcW w:w="1380" w:type="dxa"/>
            <w:vAlign w:val="bottom"/>
            <w:gridSpan w:val="2"/>
          </w:tcPr>
          <w:p>
            <w:pPr>
              <w:ind w:left="1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9"/>
                <w:szCs w:val="19"/>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211</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8,632</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46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30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16,962</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ind w:left="980"/>
              <w:spacing w:after="0"/>
              <w:rPr>
                <w:sz w:val="20"/>
                <w:szCs w:val="20"/>
                <w:color w:val="auto"/>
              </w:rPr>
            </w:pPr>
            <w:r>
              <w:rPr>
                <w:rFonts w:ascii="Arial" w:cs="Arial" w:eastAsia="Arial" w:hAnsi="Arial"/>
                <w:sz w:val="18"/>
                <w:szCs w:val="18"/>
                <w:color w:val="auto"/>
                <w:w w:val="79"/>
              </w:rPr>
              <w:t>29</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306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25,592</w:t>
            </w:r>
          </w:p>
        </w:tc>
        <w:tc>
          <w:tcPr>
            <w:tcW w:w="200" w:type="dxa"/>
            <w:vAlign w:val="bottom"/>
          </w:tcPr>
          <w:p>
            <w:pPr>
              <w:spacing w:after="0"/>
              <w:rPr>
                <w:sz w:val="19"/>
                <w:szCs w:val="19"/>
                <w:color w:val="auto"/>
              </w:rPr>
            </w:pPr>
          </w:p>
        </w:tc>
        <w:tc>
          <w:tcPr>
            <w:tcW w:w="1160" w:type="dxa"/>
            <w:vAlign w:val="bottom"/>
            <w:tcBorders>
              <w:bottom w:val="single" w:sz="8" w:color="auto"/>
            </w:tcBorders>
          </w:tcPr>
          <w:p>
            <w:pPr>
              <w:ind w:left="980"/>
              <w:spacing w:after="0"/>
              <w:rPr>
                <w:sz w:val="20"/>
                <w:szCs w:val="20"/>
                <w:color w:val="auto"/>
              </w:rPr>
            </w:pPr>
            <w:r>
              <w:rPr>
                <w:rFonts w:ascii="Arial" w:cs="Arial" w:eastAsia="Arial" w:hAnsi="Arial"/>
                <w:sz w:val="18"/>
                <w:szCs w:val="18"/>
                <w:b w:val="1"/>
                <w:bCs w:val="1"/>
                <w:color w:val="auto"/>
                <w:w w:val="79"/>
              </w:rPr>
              <w:t>29</w:t>
            </w:r>
          </w:p>
        </w:tc>
        <w:tc>
          <w:tcPr>
            <w:tcW w:w="220" w:type="dxa"/>
            <w:vAlign w:val="bottom"/>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486</w:t>
            </w:r>
          </w:p>
        </w:tc>
        <w:tc>
          <w:tcPr>
            <w:tcW w:w="18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25,135</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6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right="840" w:hanging="324"/>
        <w:spacing w:after="0" w:line="194" w:lineRule="auto"/>
        <w:tabs>
          <w:tab w:leader="none" w:pos="980" w:val="left"/>
        </w:tabs>
        <w:numPr>
          <w:ilvl w:val="0"/>
          <w:numId w:val="7"/>
        </w:numPr>
        <w:rPr>
          <w:rFonts w:ascii="Arial" w:cs="Arial" w:eastAsia="Arial" w:hAnsi="Arial"/>
          <w:sz w:val="30"/>
          <w:szCs w:val="30"/>
          <w:color w:val="222222"/>
          <w:vertAlign w:val="superscript"/>
        </w:rPr>
      </w:pPr>
      <w:r>
        <w:rPr>
          <w:rFonts w:ascii="Arial" w:cs="Arial" w:eastAsia="Arial" w:hAnsi="Arial"/>
          <w:sz w:val="18"/>
          <w:szCs w:val="18"/>
          <w:color w:val="222222"/>
        </w:rPr>
        <w:t>Equity instruments were initially recognized at fair value. These equity instruments correspond to equity securities classified with the irrevocable option of changes in OCI.</w:t>
      </w: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460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Financial instruments at fair value through other comprehensive income (continued) </w:t>
      </w:r>
      <w:r>
        <w:rPr>
          <w:rFonts w:ascii="Arial" w:cs="Arial" w:eastAsia="Arial" w:hAnsi="Arial"/>
          <w:sz w:val="18"/>
          <w:szCs w:val="18"/>
          <w:u w:val="single" w:color="auto"/>
          <w:color w:val="auto"/>
        </w:rPr>
        <w:t>Securities at FVOCI (continued)</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 xml:space="preserve">As of </w:t>
      </w:r>
      <w:r>
        <w:rPr>
          <w:rFonts w:ascii="Arial" w:cs="Arial" w:eastAsia="Arial" w:hAnsi="Arial"/>
          <w:sz w:val="18"/>
          <w:szCs w:val="18"/>
          <w:color w:val="000000"/>
        </w:rPr>
        <w:t>September</w:t>
      </w:r>
      <w:r>
        <w:rPr>
          <w:rFonts w:ascii="Arial" w:cs="Arial" w:eastAsia="Arial" w:hAnsi="Arial"/>
          <w:sz w:val="18"/>
          <w:szCs w:val="18"/>
          <w:color w:val="222222"/>
        </w:rPr>
        <w:t xml:space="preserve"> 30, 2018, and as of December 31, 2017, there were no securities at fair value through other comprehensive income accounted for as secured financings.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discloses those securities that had unrealized losses for a period less than 12 month and for 12 months or longer:</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20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600" w:type="dxa"/>
            <w:vAlign w:val="bottom"/>
            <w:tcBorders>
              <w:bottom w:val="single" w:sz="8" w:color="auto"/>
            </w:tcBorders>
            <w:gridSpan w:val="4"/>
          </w:tcPr>
          <w:p>
            <w:pPr>
              <w:ind w:left="400"/>
              <w:spacing w:after="0"/>
              <w:rPr>
                <w:sz w:val="20"/>
                <w:szCs w:val="20"/>
                <w:color w:val="auto"/>
              </w:rPr>
            </w:pPr>
            <w:r>
              <w:rPr>
                <w:rFonts w:ascii="Arial" w:cs="Arial" w:eastAsia="Arial" w:hAnsi="Arial"/>
                <w:sz w:val="18"/>
                <w:szCs w:val="18"/>
                <w:b w:val="1"/>
                <w:bCs w:val="1"/>
                <w:color w:val="auto"/>
              </w:rPr>
              <w:t>September 30, 2018</w:t>
            </w: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3200" w:type="dxa"/>
            <w:vAlign w:val="bottom"/>
          </w:tcPr>
          <w:p>
            <w:pPr>
              <w:spacing w:after="0"/>
              <w:rPr>
                <w:sz w:val="19"/>
                <w:szCs w:val="19"/>
                <w:color w:val="auto"/>
              </w:rPr>
            </w:pPr>
          </w:p>
        </w:tc>
        <w:tc>
          <w:tcPr>
            <w:tcW w:w="2660" w:type="dxa"/>
            <w:vAlign w:val="bottom"/>
            <w:gridSpan w:val="4"/>
          </w:tcPr>
          <w:p>
            <w:pPr>
              <w:ind w:left="44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1400" w:type="dxa"/>
            <w:vAlign w:val="bottom"/>
            <w:gridSpan w:val="3"/>
          </w:tcPr>
          <w:p>
            <w:pPr>
              <w:ind w:left="1000"/>
              <w:spacing w:after="0"/>
              <w:rPr>
                <w:sz w:val="20"/>
                <w:szCs w:val="20"/>
                <w:color w:val="auto"/>
              </w:rPr>
            </w:pPr>
            <w:r>
              <w:rPr>
                <w:rFonts w:ascii="Arial" w:cs="Arial" w:eastAsia="Arial" w:hAnsi="Arial"/>
                <w:sz w:val="18"/>
                <w:szCs w:val="18"/>
                <w:b w:val="1"/>
                <w:bCs w:val="1"/>
                <w:color w:val="auto"/>
                <w:w w:val="88"/>
              </w:rPr>
              <w:t>Total</w:t>
            </w:r>
          </w:p>
        </w:tc>
        <w:tc>
          <w:tcPr>
            <w:tcW w:w="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1"/>
        </w:trPr>
        <w:tc>
          <w:tcPr>
            <w:tcW w:w="3200" w:type="dxa"/>
            <w:vAlign w:val="bottom"/>
          </w:tcPr>
          <w:p>
            <w:pPr>
              <w:spacing w:after="0"/>
              <w:rPr>
                <w:sz w:val="16"/>
                <w:szCs w:val="16"/>
                <w:color w:val="auto"/>
              </w:rPr>
            </w:pPr>
          </w:p>
        </w:tc>
        <w:tc>
          <w:tcPr>
            <w:tcW w:w="134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120" w:type="dxa"/>
            <w:vAlign w:val="bottom"/>
            <w:tcBorders>
              <w:top w:val="single" w:sz="8" w:color="auto"/>
            </w:tcBorders>
          </w:tcPr>
          <w:p>
            <w:pPr>
              <w:ind w:left="140"/>
              <w:spacing w:after="0" w:line="191" w:lineRule="exact"/>
              <w:rPr>
                <w:sz w:val="20"/>
                <w:szCs w:val="20"/>
                <w:color w:val="auto"/>
              </w:rPr>
            </w:pPr>
            <w:r>
              <w:rPr>
                <w:rFonts w:ascii="Arial" w:cs="Arial" w:eastAsia="Arial" w:hAnsi="Arial"/>
                <w:sz w:val="18"/>
                <w:szCs w:val="18"/>
                <w:b w:val="1"/>
                <w:bCs w:val="1"/>
                <w:color w:val="auto"/>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ind w:left="12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400" w:type="dxa"/>
            <w:vAlign w:val="bottom"/>
            <w:tcBorders>
              <w:top w:val="single" w:sz="8" w:color="auto"/>
            </w:tcBorders>
            <w:gridSpan w:val="3"/>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980" w:type="dxa"/>
            <w:vAlign w:val="bottom"/>
            <w:tcBorders>
              <w:top w:val="single" w:sz="8" w:color="auto"/>
            </w:tcBorders>
          </w:tcPr>
          <w:p>
            <w:pPr>
              <w:ind w:left="20"/>
              <w:spacing w:after="0" w:line="191" w:lineRule="exact"/>
              <w:rPr>
                <w:sz w:val="20"/>
                <w:szCs w:val="20"/>
                <w:color w:val="auto"/>
              </w:rPr>
            </w:pPr>
            <w:r>
              <w:rPr>
                <w:rFonts w:ascii="Arial" w:cs="Arial" w:eastAsia="Arial" w:hAnsi="Arial"/>
                <w:sz w:val="18"/>
                <w:szCs w:val="18"/>
                <w:b w:val="1"/>
                <w:bCs w:val="1"/>
                <w:color w:val="auto"/>
              </w:rPr>
              <w:t>Unrealized</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3200" w:type="dxa"/>
            <w:vAlign w:val="bottom"/>
          </w:tcPr>
          <w:p>
            <w:pPr>
              <w:spacing w:after="0"/>
              <w:rPr>
                <w:sz w:val="20"/>
                <w:szCs w:val="20"/>
                <w:color w:val="auto"/>
              </w:rPr>
            </w:pPr>
          </w:p>
        </w:tc>
        <w:tc>
          <w:tcPr>
            <w:tcW w:w="134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20" w:type="dxa"/>
            <w:vAlign w:val="bottom"/>
            <w:gridSpan w:val="2"/>
          </w:tcPr>
          <w:p>
            <w:pPr>
              <w:ind w:left="120"/>
              <w:spacing w:after="0"/>
              <w:rPr>
                <w:sz w:val="20"/>
                <w:szCs w:val="20"/>
                <w:color w:val="auto"/>
              </w:rPr>
            </w:pPr>
            <w:r>
              <w:rPr>
                <w:rFonts w:ascii="Arial" w:cs="Arial" w:eastAsia="Arial" w:hAnsi="Arial"/>
                <w:sz w:val="18"/>
                <w:szCs w:val="18"/>
                <w:b w:val="1"/>
                <w:bCs w:val="1"/>
                <w:color w:val="auto"/>
              </w:rPr>
              <w:t>gross losses</w:t>
            </w:r>
          </w:p>
        </w:tc>
        <w:tc>
          <w:tcPr>
            <w:tcW w:w="130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gross losses</w:t>
            </w:r>
          </w:p>
        </w:tc>
        <w:tc>
          <w:tcPr>
            <w:tcW w:w="1400" w:type="dxa"/>
            <w:vAlign w:val="bottom"/>
            <w:gridSpan w:val="3"/>
          </w:tcPr>
          <w:p>
            <w:pPr>
              <w:ind w:left="340"/>
              <w:spacing w:after="0"/>
              <w:rPr>
                <w:sz w:val="20"/>
                <w:szCs w:val="20"/>
                <w:color w:val="auto"/>
              </w:rPr>
            </w:pPr>
            <w:r>
              <w:rPr>
                <w:rFonts w:ascii="Arial" w:cs="Arial" w:eastAsia="Arial" w:hAnsi="Arial"/>
                <w:sz w:val="18"/>
                <w:szCs w:val="18"/>
                <w:b w:val="1"/>
                <w:bCs w:val="1"/>
                <w:color w:val="auto"/>
              </w:rPr>
              <w:t>value</w:t>
            </w:r>
          </w:p>
        </w:tc>
        <w:tc>
          <w:tcPr>
            <w:tcW w:w="1080" w:type="dxa"/>
            <w:vAlign w:val="bottom"/>
            <w:gridSpan w:val="3"/>
          </w:tcPr>
          <w:p>
            <w:pPr>
              <w:spacing w:after="0"/>
              <w:rPr>
                <w:sz w:val="20"/>
                <w:szCs w:val="20"/>
                <w:color w:val="auto"/>
              </w:rPr>
            </w:pPr>
            <w:r>
              <w:rPr>
                <w:rFonts w:ascii="Arial" w:cs="Arial" w:eastAsia="Arial" w:hAnsi="Arial"/>
                <w:sz w:val="18"/>
                <w:szCs w:val="18"/>
                <w:b w:val="1"/>
                <w:bCs w:val="1"/>
                <w:color w:val="auto"/>
                <w:w w:val="96"/>
              </w:rPr>
              <w:t>gross losses</w:t>
            </w:r>
          </w:p>
        </w:tc>
      </w:tr>
      <w:tr>
        <w:trPr>
          <w:trHeight w:val="210"/>
        </w:trPr>
        <w:tc>
          <w:tcPr>
            <w:tcW w:w="3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6,885</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210</w:t>
            </w:r>
          </w:p>
        </w:tc>
        <w:tc>
          <w:tcPr>
            <w:tcW w:w="130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8,559</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940</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15,444</w:t>
            </w:r>
          </w:p>
        </w:tc>
        <w:tc>
          <w:tcPr>
            <w:tcW w:w="10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1,150</w:t>
            </w:r>
          </w:p>
        </w:tc>
        <w:tc>
          <w:tcPr>
            <w:tcW w:w="80" w:type="dxa"/>
            <w:vAlign w:val="bottom"/>
            <w:shd w:val="clear" w:color="auto" w:fill="CCEEFF"/>
          </w:tcPr>
          <w:p>
            <w:pPr>
              <w:spacing w:after="0"/>
              <w:rPr>
                <w:sz w:val="19"/>
                <w:szCs w:val="19"/>
                <w:color w:val="auto"/>
              </w:rPr>
            </w:pPr>
          </w:p>
        </w:tc>
      </w:tr>
      <w:tr>
        <w:trPr>
          <w:trHeight w:val="223"/>
        </w:trPr>
        <w:tc>
          <w:tcPr>
            <w:tcW w:w="3200" w:type="dxa"/>
            <w:vAlign w:val="bottom"/>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6,885</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680"/>
              <w:spacing w:after="0"/>
              <w:rPr>
                <w:sz w:val="20"/>
                <w:szCs w:val="20"/>
                <w:color w:val="auto"/>
              </w:rPr>
            </w:pPr>
            <w:r>
              <w:rPr>
                <w:rFonts w:ascii="Arial" w:cs="Arial" w:eastAsia="Arial" w:hAnsi="Arial"/>
                <w:sz w:val="18"/>
                <w:szCs w:val="18"/>
                <w:b w:val="1"/>
                <w:bCs w:val="1"/>
                <w:color w:val="auto"/>
                <w:w w:val="84"/>
              </w:rPr>
              <w:t>8,559</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940</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15,444</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20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4"/>
          </w:tcPr>
          <w:p>
            <w:pPr>
              <w:ind w:left="420"/>
              <w:spacing w:after="0"/>
              <w:rPr>
                <w:sz w:val="20"/>
                <w:szCs w:val="20"/>
                <w:color w:val="auto"/>
              </w:rPr>
            </w:pPr>
            <w:r>
              <w:rPr>
                <w:rFonts w:ascii="Arial" w:cs="Arial" w:eastAsia="Arial" w:hAnsi="Arial"/>
                <w:sz w:val="18"/>
                <w:szCs w:val="18"/>
                <w:b w:val="1"/>
                <w:bCs w:val="1"/>
                <w:color w:val="auto"/>
              </w:rPr>
              <w:t>December 31, 2017</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3200" w:type="dxa"/>
            <w:vAlign w:val="bottom"/>
          </w:tcPr>
          <w:p>
            <w:pPr>
              <w:spacing w:after="0"/>
              <w:rPr>
                <w:sz w:val="19"/>
                <w:szCs w:val="19"/>
                <w:color w:val="auto"/>
              </w:rPr>
            </w:pPr>
          </w:p>
        </w:tc>
        <w:tc>
          <w:tcPr>
            <w:tcW w:w="2660" w:type="dxa"/>
            <w:vAlign w:val="bottom"/>
            <w:gridSpan w:val="4"/>
          </w:tcPr>
          <w:p>
            <w:pPr>
              <w:ind w:left="44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1400" w:type="dxa"/>
            <w:vAlign w:val="bottom"/>
            <w:gridSpan w:val="3"/>
          </w:tcPr>
          <w:p>
            <w:pPr>
              <w:ind w:left="1000"/>
              <w:spacing w:after="0"/>
              <w:rPr>
                <w:sz w:val="20"/>
                <w:szCs w:val="20"/>
                <w:color w:val="auto"/>
              </w:rPr>
            </w:pPr>
            <w:r>
              <w:rPr>
                <w:rFonts w:ascii="Arial" w:cs="Arial" w:eastAsia="Arial" w:hAnsi="Arial"/>
                <w:sz w:val="18"/>
                <w:szCs w:val="18"/>
                <w:b w:val="1"/>
                <w:bCs w:val="1"/>
                <w:color w:val="auto"/>
                <w:w w:val="88"/>
              </w:rPr>
              <w:t>Total</w:t>
            </w:r>
          </w:p>
        </w:tc>
        <w:tc>
          <w:tcPr>
            <w:tcW w:w="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1"/>
        </w:trPr>
        <w:tc>
          <w:tcPr>
            <w:tcW w:w="3200" w:type="dxa"/>
            <w:vAlign w:val="bottom"/>
          </w:tcPr>
          <w:p>
            <w:pPr>
              <w:spacing w:after="0"/>
              <w:rPr>
                <w:sz w:val="16"/>
                <w:szCs w:val="16"/>
                <w:color w:val="auto"/>
              </w:rPr>
            </w:pPr>
          </w:p>
        </w:tc>
        <w:tc>
          <w:tcPr>
            <w:tcW w:w="134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120" w:type="dxa"/>
            <w:vAlign w:val="bottom"/>
            <w:tcBorders>
              <w:top w:val="single" w:sz="8" w:color="auto"/>
            </w:tcBorders>
          </w:tcPr>
          <w:p>
            <w:pPr>
              <w:ind w:left="140"/>
              <w:spacing w:after="0" w:line="191" w:lineRule="exact"/>
              <w:rPr>
                <w:sz w:val="20"/>
                <w:szCs w:val="20"/>
                <w:color w:val="auto"/>
              </w:rPr>
            </w:pPr>
            <w:r>
              <w:rPr>
                <w:rFonts w:ascii="Arial" w:cs="Arial" w:eastAsia="Arial" w:hAnsi="Arial"/>
                <w:sz w:val="18"/>
                <w:szCs w:val="18"/>
                <w:b w:val="1"/>
                <w:bCs w:val="1"/>
                <w:color w:val="auto"/>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ind w:left="12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400" w:type="dxa"/>
            <w:vAlign w:val="bottom"/>
            <w:tcBorders>
              <w:top w:val="single" w:sz="8" w:color="auto"/>
            </w:tcBorders>
            <w:gridSpan w:val="3"/>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980" w:type="dxa"/>
            <w:vAlign w:val="bottom"/>
            <w:tcBorders>
              <w:top w:val="single" w:sz="8" w:color="auto"/>
            </w:tcBorders>
          </w:tcPr>
          <w:p>
            <w:pPr>
              <w:ind w:left="20"/>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gridSpan w:val="2"/>
          </w:tcPr>
          <w:p>
            <w:pPr>
              <w:spacing w:after="0"/>
              <w:rPr>
                <w:sz w:val="16"/>
                <w:szCs w:val="16"/>
                <w:color w:val="auto"/>
              </w:rPr>
            </w:pPr>
          </w:p>
        </w:tc>
      </w:tr>
      <w:tr>
        <w:trPr>
          <w:trHeight w:val="234"/>
        </w:trPr>
        <w:tc>
          <w:tcPr>
            <w:tcW w:w="3200" w:type="dxa"/>
            <w:vAlign w:val="bottom"/>
          </w:tcPr>
          <w:p>
            <w:pPr>
              <w:spacing w:after="0"/>
              <w:rPr>
                <w:sz w:val="20"/>
                <w:szCs w:val="20"/>
                <w:color w:val="auto"/>
              </w:rPr>
            </w:pPr>
          </w:p>
        </w:tc>
        <w:tc>
          <w:tcPr>
            <w:tcW w:w="134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20" w:type="dxa"/>
            <w:vAlign w:val="bottom"/>
            <w:gridSpan w:val="2"/>
          </w:tcPr>
          <w:p>
            <w:pPr>
              <w:ind w:left="120"/>
              <w:spacing w:after="0"/>
              <w:rPr>
                <w:sz w:val="20"/>
                <w:szCs w:val="20"/>
                <w:color w:val="auto"/>
              </w:rPr>
            </w:pPr>
            <w:r>
              <w:rPr>
                <w:rFonts w:ascii="Arial" w:cs="Arial" w:eastAsia="Arial" w:hAnsi="Arial"/>
                <w:sz w:val="18"/>
                <w:szCs w:val="18"/>
                <w:b w:val="1"/>
                <w:bCs w:val="1"/>
                <w:color w:val="auto"/>
              </w:rPr>
              <w:t>gross losses</w:t>
            </w:r>
          </w:p>
        </w:tc>
        <w:tc>
          <w:tcPr>
            <w:tcW w:w="130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gross losses</w:t>
            </w:r>
          </w:p>
        </w:tc>
        <w:tc>
          <w:tcPr>
            <w:tcW w:w="1400" w:type="dxa"/>
            <w:vAlign w:val="bottom"/>
            <w:gridSpan w:val="3"/>
          </w:tcPr>
          <w:p>
            <w:pPr>
              <w:ind w:left="340"/>
              <w:spacing w:after="0"/>
              <w:rPr>
                <w:sz w:val="20"/>
                <w:szCs w:val="20"/>
                <w:color w:val="auto"/>
              </w:rPr>
            </w:pPr>
            <w:r>
              <w:rPr>
                <w:rFonts w:ascii="Arial" w:cs="Arial" w:eastAsia="Arial" w:hAnsi="Arial"/>
                <w:sz w:val="18"/>
                <w:szCs w:val="18"/>
                <w:b w:val="1"/>
                <w:bCs w:val="1"/>
                <w:color w:val="auto"/>
              </w:rPr>
              <w:t>value</w:t>
            </w:r>
          </w:p>
        </w:tc>
        <w:tc>
          <w:tcPr>
            <w:tcW w:w="1080" w:type="dxa"/>
            <w:vAlign w:val="bottom"/>
            <w:gridSpan w:val="3"/>
          </w:tcPr>
          <w:p>
            <w:pPr>
              <w:spacing w:after="0"/>
              <w:rPr>
                <w:sz w:val="20"/>
                <w:szCs w:val="20"/>
                <w:color w:val="auto"/>
              </w:rPr>
            </w:pPr>
            <w:r>
              <w:rPr>
                <w:rFonts w:ascii="Arial" w:cs="Arial" w:eastAsia="Arial" w:hAnsi="Arial"/>
                <w:sz w:val="18"/>
                <w:szCs w:val="18"/>
                <w:b w:val="1"/>
                <w:bCs w:val="1"/>
                <w:color w:val="auto"/>
                <w:w w:val="96"/>
              </w:rPr>
              <w:t>gross losses</w:t>
            </w:r>
          </w:p>
        </w:tc>
      </w:tr>
      <w:tr>
        <w:trPr>
          <w:trHeight w:val="210"/>
        </w:trPr>
        <w:tc>
          <w:tcPr>
            <w:tcW w:w="3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5,147</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0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9,616</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223</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14,763</w:t>
            </w:r>
          </w:p>
        </w:tc>
        <w:tc>
          <w:tcPr>
            <w:tcW w:w="10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258</w:t>
            </w:r>
          </w:p>
        </w:tc>
        <w:tc>
          <w:tcPr>
            <w:tcW w:w="80" w:type="dxa"/>
            <w:vAlign w:val="bottom"/>
            <w:shd w:val="clear" w:color="auto" w:fill="CCEEFF"/>
          </w:tcPr>
          <w:p>
            <w:pPr>
              <w:spacing w:after="0"/>
              <w:rPr>
                <w:sz w:val="19"/>
                <w:szCs w:val="19"/>
                <w:color w:val="auto"/>
              </w:rPr>
            </w:pPr>
          </w:p>
        </w:tc>
      </w:tr>
      <w:tr>
        <w:trPr>
          <w:trHeight w:val="223"/>
        </w:trPr>
        <w:tc>
          <w:tcPr>
            <w:tcW w:w="3200" w:type="dxa"/>
            <w:vAlign w:val="bottom"/>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5,147</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680"/>
              <w:spacing w:after="0"/>
              <w:rPr>
                <w:sz w:val="20"/>
                <w:szCs w:val="20"/>
                <w:color w:val="auto"/>
              </w:rPr>
            </w:pPr>
            <w:r>
              <w:rPr>
                <w:rFonts w:ascii="Arial" w:cs="Arial" w:eastAsia="Arial" w:hAnsi="Arial"/>
                <w:sz w:val="18"/>
                <w:szCs w:val="18"/>
                <w:b w:val="1"/>
                <w:bCs w:val="1"/>
                <w:color w:val="auto"/>
                <w:w w:val="84"/>
              </w:rPr>
              <w:t>9,616</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14,763</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and losses on sale of securities at fair value through other comprehensive income:</w:t>
      </w:r>
    </w:p>
    <w:p>
      <w:pPr>
        <w:spacing w:after="0" w:line="235" w:lineRule="exact"/>
        <w:rPr>
          <w:sz w:val="20"/>
          <w:szCs w:val="20"/>
          <w:color w:val="auto"/>
        </w:rPr>
      </w:pPr>
    </w:p>
    <w:p>
      <w:pPr>
        <w:ind w:left="7740"/>
        <w:spacing w:after="0"/>
        <w:rPr>
          <w:sz w:val="20"/>
          <w:szCs w:val="20"/>
          <w:color w:val="auto"/>
        </w:rPr>
      </w:pPr>
      <w:r>
        <w:rPr>
          <w:rFonts w:ascii="Arial" w:cs="Arial" w:eastAsia="Arial" w:hAnsi="Arial"/>
          <w:sz w:val="18"/>
          <w:szCs w:val="18"/>
          <w:b w:val="1"/>
          <w:bCs w:val="1"/>
          <w:color w:val="auto"/>
        </w:rPr>
        <w:t>Three months ended September 30th</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6800" w:type="dxa"/>
            <w:vAlign w:val="bottom"/>
          </w:tcPr>
          <w:p>
            <w:pPr>
              <w:spacing w:after="0"/>
              <w:rPr>
                <w:sz w:val="19"/>
                <w:szCs w:val="19"/>
                <w:color w:val="auto"/>
              </w:rPr>
            </w:pPr>
          </w:p>
        </w:tc>
        <w:tc>
          <w:tcPr>
            <w:tcW w:w="96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2018</w:t>
            </w:r>
          </w:p>
        </w:tc>
        <w:tc>
          <w:tcPr>
            <w:tcW w:w="1280" w:type="dxa"/>
            <w:vAlign w:val="bottom"/>
            <w:tcBorders>
              <w:top w:val="single" w:sz="8" w:color="auto"/>
            </w:tcBorders>
            <w:gridSpan w:val="3"/>
          </w:tcPr>
          <w:p>
            <w:pPr>
              <w:jc w:val="center"/>
              <w:ind w:left="750"/>
              <w:spacing w:after="0"/>
              <w:rPr>
                <w:sz w:val="20"/>
                <w:szCs w:val="20"/>
                <w:color w:val="auto"/>
              </w:rPr>
            </w:pPr>
            <w:r>
              <w:rPr>
                <w:rFonts w:ascii="Arial" w:cs="Arial" w:eastAsia="Arial" w:hAnsi="Arial"/>
                <w:sz w:val="18"/>
                <w:szCs w:val="18"/>
                <w:b w:val="1"/>
                <w:bCs w:val="1"/>
                <w:color w:val="auto"/>
                <w:w w:val="89"/>
              </w:rPr>
              <w:t>2017</w:t>
            </w:r>
          </w:p>
        </w:tc>
        <w:tc>
          <w:tcPr>
            <w:tcW w:w="38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76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20" w:type="dxa"/>
            <w:vAlign w:val="bottom"/>
          </w:tcPr>
          <w:p>
            <w:pPr>
              <w:spacing w:after="0"/>
              <w:rPr>
                <w:sz w:val="19"/>
                <w:szCs w:val="19"/>
                <w:color w:val="auto"/>
              </w:rPr>
            </w:pPr>
          </w:p>
        </w:tc>
        <w:tc>
          <w:tcPr>
            <w:tcW w:w="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40" w:type="dxa"/>
            <w:vAlign w:val="bottom"/>
          </w:tcPr>
          <w:p>
            <w:pPr>
              <w:spacing w:after="0"/>
              <w:rPr>
                <w:sz w:val="15"/>
                <w:szCs w:val="15"/>
                <w:color w:val="auto"/>
              </w:rPr>
            </w:pPr>
          </w:p>
        </w:tc>
        <w:tc>
          <w:tcPr>
            <w:tcW w:w="680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Net gain (loss) on sale of securities at fair value through</w:t>
            </w:r>
          </w:p>
        </w:tc>
        <w:tc>
          <w:tcPr>
            <w:tcW w:w="96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20" w:type="dxa"/>
            <w:vAlign w:val="bottom"/>
            <w:tcBorders>
              <w:top w:val="single" w:sz="8" w:color="auto"/>
            </w:tcBorders>
            <w:shd w:val="clear" w:color="auto" w:fill="CCEEFF"/>
          </w:tcPr>
          <w:p>
            <w:pPr>
              <w:spacing w:after="0"/>
              <w:rPr>
                <w:sz w:val="15"/>
                <w:szCs w:val="15"/>
                <w:color w:val="auto"/>
              </w:rPr>
            </w:pPr>
          </w:p>
        </w:tc>
        <w:tc>
          <w:tcPr>
            <w:tcW w:w="3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340" w:type="dxa"/>
            <w:vAlign w:val="bottom"/>
          </w:tcPr>
          <w:p>
            <w:pPr>
              <w:spacing w:after="0"/>
              <w:rPr>
                <w:sz w:val="22"/>
                <w:szCs w:val="22"/>
                <w:color w:val="auto"/>
              </w:rPr>
            </w:pPr>
          </w:p>
        </w:tc>
        <w:tc>
          <w:tcPr>
            <w:tcW w:w="680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comprehensive income</w:t>
            </w:r>
          </w:p>
        </w:tc>
        <w:tc>
          <w:tcPr>
            <w:tcW w:w="960" w:type="dxa"/>
            <w:vAlign w:val="bottom"/>
            <w:shd w:val="clear" w:color="auto" w:fill="CCEEFF"/>
          </w:tcPr>
          <w:p>
            <w:pPr>
              <w:spacing w:after="0"/>
              <w:rPr>
                <w:sz w:val="22"/>
                <w:szCs w:val="22"/>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820" w:type="dxa"/>
            <w:vAlign w:val="bottom"/>
            <w:shd w:val="clear" w:color="auto" w:fill="CCEEFF"/>
          </w:tcPr>
          <w:p>
            <w:pPr>
              <w:spacing w:after="0"/>
              <w:rPr>
                <w:sz w:val="22"/>
                <w:szCs w:val="22"/>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69</w:t>
            </w:r>
          </w:p>
        </w:tc>
        <w:tc>
          <w:tcPr>
            <w:tcW w:w="100" w:type="dxa"/>
            <w:vAlign w:val="bottom"/>
            <w:shd w:val="clear" w:color="auto" w:fill="CCEEFF"/>
          </w:tcPr>
          <w:p>
            <w:pPr>
              <w:spacing w:after="0"/>
              <w:rPr>
                <w:sz w:val="22"/>
                <w:szCs w:val="22"/>
                <w:color w:val="auto"/>
              </w:rPr>
            </w:pP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gridSpan w:val="2"/>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gridSpan w:val="2"/>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4140" w:type="dxa"/>
            <w:vAlign w:val="bottom"/>
            <w:gridSpan w:val="8"/>
          </w:tcPr>
          <w:p>
            <w:pPr>
              <w:jc w:val="center"/>
              <w:ind w:right="120"/>
              <w:spacing w:after="0"/>
              <w:rPr>
                <w:sz w:val="20"/>
                <w:szCs w:val="20"/>
                <w:color w:val="auto"/>
              </w:rPr>
            </w:pPr>
            <w:r>
              <w:rPr>
                <w:rFonts w:ascii="Arial" w:cs="Arial" w:eastAsia="Arial" w:hAnsi="Arial"/>
                <w:sz w:val="18"/>
                <w:szCs w:val="18"/>
                <w:b w:val="1"/>
                <w:bCs w:val="1"/>
                <w:color w:val="auto"/>
                <w:w w:val="89"/>
              </w:rPr>
              <w:t>Nine months ended September 30th</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Pr>
          <w:p>
            <w:pPr>
              <w:spacing w:after="0"/>
              <w:rPr>
                <w:sz w:val="19"/>
                <w:szCs w:val="19"/>
                <w:color w:val="auto"/>
              </w:rPr>
            </w:pPr>
          </w:p>
        </w:tc>
        <w:tc>
          <w:tcPr>
            <w:tcW w:w="96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2018</w:t>
            </w:r>
          </w:p>
        </w:tc>
        <w:tc>
          <w:tcPr>
            <w:tcW w:w="1280" w:type="dxa"/>
            <w:vAlign w:val="bottom"/>
            <w:tcBorders>
              <w:top w:val="single" w:sz="8" w:color="auto"/>
            </w:tcBorders>
            <w:gridSpan w:val="3"/>
          </w:tcPr>
          <w:p>
            <w:pPr>
              <w:jc w:val="center"/>
              <w:ind w:left="750"/>
              <w:spacing w:after="0"/>
              <w:rPr>
                <w:sz w:val="20"/>
                <w:szCs w:val="20"/>
                <w:color w:val="auto"/>
              </w:rPr>
            </w:pPr>
            <w:r>
              <w:rPr>
                <w:rFonts w:ascii="Arial" w:cs="Arial" w:eastAsia="Arial" w:hAnsi="Arial"/>
                <w:sz w:val="18"/>
                <w:szCs w:val="18"/>
                <w:b w:val="1"/>
                <w:bCs w:val="1"/>
                <w:color w:val="auto"/>
                <w:w w:val="89"/>
              </w:rPr>
              <w:t>2017</w:t>
            </w:r>
          </w:p>
        </w:tc>
        <w:tc>
          <w:tcPr>
            <w:tcW w:w="38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7,544</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800" w:type="dxa"/>
            <w:vAlign w:val="bottom"/>
          </w:tcPr>
          <w:p>
            <w:pPr>
              <w:spacing w:after="0"/>
              <w:rPr>
                <w:sz w:val="20"/>
                <w:szCs w:val="20"/>
                <w:color w:val="auto"/>
              </w:rPr>
            </w:pPr>
            <w:r>
              <w:rPr>
                <w:rFonts w:ascii="Arial" w:cs="Arial" w:eastAsia="Arial" w:hAnsi="Arial"/>
                <w:sz w:val="18"/>
                <w:szCs w:val="18"/>
                <w:color w:val="auto"/>
              </w:rPr>
              <w:t>Realized loss on sale of securities</w:t>
            </w:r>
          </w:p>
        </w:tc>
        <w:tc>
          <w:tcPr>
            <w:tcW w:w="960" w:type="dxa"/>
            <w:vAlign w:val="bottom"/>
          </w:tcPr>
          <w:p>
            <w:pPr>
              <w:spacing w:after="0"/>
              <w:rPr>
                <w:sz w:val="19"/>
                <w:szCs w:val="19"/>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20" w:type="dxa"/>
            <w:vAlign w:val="bottom"/>
          </w:tcPr>
          <w:p>
            <w:pPr>
              <w:spacing w:after="0"/>
              <w:rPr>
                <w:sz w:val="19"/>
                <w:szCs w:val="19"/>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w w:val="99"/>
              </w:rPr>
              <w:t>(588)</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(7,790)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vMerge w:val="restart"/>
            <w:shd w:val="clear" w:color="auto" w:fill="CCEEFF"/>
          </w:tcPr>
          <w:p>
            <w:pPr>
              <w:spacing w:after="0" w:line="201" w:lineRule="exact"/>
              <w:rPr>
                <w:sz w:val="20"/>
                <w:szCs w:val="20"/>
                <w:color w:val="auto"/>
              </w:rPr>
            </w:pPr>
            <w:r>
              <w:rPr>
                <w:rFonts w:ascii="Arial" w:cs="Arial" w:eastAsia="Arial" w:hAnsi="Arial"/>
                <w:sz w:val="18"/>
                <w:szCs w:val="18"/>
                <w:color w:val="auto"/>
              </w:rPr>
              <w:t>Net gain (loss) on sale of securities at fair value through</w:t>
            </w:r>
          </w:p>
        </w:tc>
        <w:tc>
          <w:tcPr>
            <w:tcW w:w="96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340" w:type="dxa"/>
            <w:vAlign w:val="bottom"/>
          </w:tcPr>
          <w:p>
            <w:pPr>
              <w:spacing w:after="0"/>
              <w:rPr>
                <w:sz w:val="15"/>
                <w:szCs w:val="15"/>
                <w:color w:val="auto"/>
              </w:rPr>
            </w:pPr>
          </w:p>
        </w:tc>
        <w:tc>
          <w:tcPr>
            <w:tcW w:w="6800" w:type="dxa"/>
            <w:vAlign w:val="bottom"/>
            <w:vMerge w:val="continue"/>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00" w:type="dxa"/>
            <w:vAlign w:val="bottom"/>
            <w:gridSpan w:val="2"/>
            <w:vMerge w:val="restart"/>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(246)</w:t>
            </w: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340" w:type="dxa"/>
            <w:vAlign w:val="bottom"/>
          </w:tcPr>
          <w:p>
            <w:pPr>
              <w:spacing w:after="0"/>
              <w:rPr>
                <w:sz w:val="22"/>
                <w:szCs w:val="22"/>
                <w:color w:val="auto"/>
              </w:rPr>
            </w:pPr>
          </w:p>
        </w:tc>
        <w:tc>
          <w:tcPr>
            <w:tcW w:w="77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other comprehensive income</w:t>
            </w: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820" w:type="dxa"/>
            <w:vAlign w:val="bottom"/>
            <w:shd w:val="clear" w:color="auto" w:fill="CCEEFF"/>
          </w:tcPr>
          <w:p>
            <w:pPr>
              <w:spacing w:after="0"/>
              <w:rPr>
                <w:sz w:val="22"/>
                <w:szCs w:val="22"/>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79</w:t>
            </w:r>
          </w:p>
        </w:tc>
        <w:tc>
          <w:tcPr>
            <w:tcW w:w="220" w:type="dxa"/>
            <w:vAlign w:val="bottom"/>
            <w:shd w:val="clear" w:color="auto" w:fill="CCEEFF"/>
          </w:tcPr>
          <w:p>
            <w:pPr>
              <w:spacing w:after="0"/>
              <w:rPr>
                <w:sz w:val="22"/>
                <w:szCs w:val="22"/>
                <w:color w:val="auto"/>
              </w:rPr>
            </w:pPr>
          </w:p>
        </w:tc>
        <w:tc>
          <w:tcPr>
            <w:tcW w:w="1300" w:type="dxa"/>
            <w:vAlign w:val="bottom"/>
            <w:gridSpan w:val="2"/>
            <w:vMerge w:val="continue"/>
            <w:shd w:val="clear" w:color="auto" w:fill="CCEEFF"/>
          </w:tcPr>
          <w:p>
            <w:pPr>
              <w:spacing w:after="0"/>
              <w:rPr>
                <w:sz w:val="22"/>
                <w:szCs w:val="22"/>
                <w:color w:val="auto"/>
              </w:rPr>
            </w:pP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Borders>
              <w:top w:val="single" w:sz="8" w:color="CCEEFF"/>
              <w:bottom w:val="single" w:sz="8" w:color="CCEEFF"/>
            </w:tcBorders>
            <w:vMerge w:val="restart"/>
          </w:tcPr>
          <w:p>
            <w:pPr>
              <w:ind w:left="5280"/>
              <w:spacing w:after="0"/>
              <w:rPr>
                <w:sz w:val="20"/>
                <w:szCs w:val="20"/>
                <w:color w:val="auto"/>
              </w:rPr>
            </w:pPr>
            <w:r>
              <w:rPr>
                <w:rFonts w:ascii="Arial" w:cs="Arial" w:eastAsia="Arial" w:hAnsi="Arial"/>
                <w:sz w:val="18"/>
                <w:szCs w:val="18"/>
                <w:color w:val="auto"/>
              </w:rPr>
              <w:t>12</w:t>
            </w:r>
          </w:p>
        </w:tc>
        <w:tc>
          <w:tcPr>
            <w:tcW w:w="9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6800" w:type="dxa"/>
            <w:vAlign w:val="bottom"/>
            <w:tcBorders>
              <w:bottom w:val="single" w:sz="8" w:color="auto"/>
            </w:tcBorders>
            <w:vMerge w:val="continue"/>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460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Financial instruments at fair value through other comprehensive income (continued) </w:t>
      </w:r>
      <w:r>
        <w:rPr>
          <w:rFonts w:ascii="Arial" w:cs="Arial" w:eastAsia="Arial" w:hAnsi="Arial"/>
          <w:sz w:val="18"/>
          <w:szCs w:val="18"/>
          <w:u w:val="single" w:color="auto"/>
          <w:color w:val="auto"/>
        </w:rPr>
        <w:t>Securities at FVOCI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556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5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9"/>
              </w:rPr>
              <w:t>September 30,</w:t>
            </w:r>
          </w:p>
        </w:tc>
        <w:tc>
          <w:tcPr>
            <w:tcW w:w="14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5560" w:type="dxa"/>
            <w:vAlign w:val="bottom"/>
            <w:tcBorders>
              <w:bottom w:val="single" w:sz="8" w:color="CCEEFF"/>
            </w:tcBorders>
            <w:vMerge w:val="continue"/>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2018</w:t>
            </w:r>
          </w:p>
        </w:tc>
        <w:tc>
          <w:tcPr>
            <w:tcW w:w="16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2017</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15,444</w:t>
            </w:r>
          </w:p>
        </w:tc>
        <w:tc>
          <w:tcPr>
            <w:tcW w:w="16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6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5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56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99"/>
              </w:rPr>
              <w:t>7</w:t>
            </w:r>
          </w:p>
        </w:tc>
        <w:tc>
          <w:tcPr>
            <w:tcW w:w="15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560" w:type="dxa"/>
            <w:vAlign w:val="bottom"/>
          </w:tcPr>
          <w:p>
            <w:pPr>
              <w:jc w:val="center"/>
              <w:ind w:right="10"/>
              <w:spacing w:after="0"/>
              <w:rPr>
                <w:sz w:val="20"/>
                <w:szCs w:val="20"/>
                <w:color w:val="auto"/>
              </w:rPr>
            </w:pPr>
            <w:r>
              <w:rPr>
                <w:rFonts w:ascii="Arial" w:cs="Arial" w:eastAsia="Arial" w:hAnsi="Arial"/>
                <w:sz w:val="18"/>
                <w:szCs w:val="18"/>
                <w:color w:val="auto"/>
                <w:w w:val="99"/>
              </w:rPr>
              <w:t>8</w:t>
            </w:r>
          </w:p>
        </w:tc>
        <w:tc>
          <w:tcPr>
            <w:tcW w:w="15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56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99"/>
              </w:rPr>
              <w:t>9</w:t>
            </w:r>
          </w:p>
        </w:tc>
        <w:tc>
          <w:tcPr>
            <w:tcW w:w="15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560" w:type="dxa"/>
            <w:vAlign w:val="bottom"/>
          </w:tcPr>
          <w:p>
            <w:pPr>
              <w:jc w:val="center"/>
              <w:ind w:right="10"/>
              <w:spacing w:after="0"/>
              <w:rPr>
                <w:sz w:val="20"/>
                <w:szCs w:val="20"/>
                <w:color w:val="auto"/>
              </w:rPr>
            </w:pPr>
            <w:r>
              <w:rPr>
                <w:rFonts w:ascii="Arial" w:cs="Arial" w:eastAsia="Arial" w:hAnsi="Arial"/>
                <w:sz w:val="18"/>
                <w:szCs w:val="18"/>
                <w:color w:val="auto"/>
                <w:w w:val="89"/>
              </w:rPr>
              <w:t>10</w:t>
            </w:r>
          </w:p>
        </w:tc>
        <w:tc>
          <w:tcPr>
            <w:tcW w:w="15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5560" w:type="dxa"/>
            <w:vAlign w:val="bottom"/>
            <w:tcBorders>
              <w:top w:val="single" w:sz="8" w:color="CCEEFF"/>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Total</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15,444</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16,733</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56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Current ratings as of September 30, 2018 and December 31, 2017, respectively.</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and fair value of securities at fair value through other comprehensive income by contractual maturity are shown in the following tables: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284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September 30, 2018</w:t>
            </w:r>
          </w:p>
        </w:tc>
        <w:tc>
          <w:tcPr>
            <w:tcW w:w="2720" w:type="dxa"/>
            <w:vAlign w:val="bottom"/>
            <w:gridSpan w:val="4"/>
          </w:tcPr>
          <w:p>
            <w:pPr>
              <w:ind w:left="580"/>
              <w:spacing w:after="0"/>
              <w:rPr>
                <w:sz w:val="20"/>
                <w:szCs w:val="20"/>
                <w:color w:val="auto"/>
              </w:rPr>
            </w:pPr>
            <w:r>
              <w:rPr>
                <w:rFonts w:ascii="Arial" w:cs="Arial" w:eastAsia="Arial" w:hAnsi="Arial"/>
                <w:sz w:val="18"/>
                <w:szCs w:val="18"/>
                <w:b w:val="1"/>
                <w:bCs w:val="1"/>
                <w:color w:val="auto"/>
              </w:rPr>
              <w:t>December 31, 2017</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4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cost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0"/>
              </w:rPr>
              <w:t>cost</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29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2980" w:type="dxa"/>
            <w:vAlign w:val="bottom"/>
            <w:gridSpan w:val="3"/>
          </w:tcPr>
          <w:p>
            <w:pPr>
              <w:jc w:val="right"/>
              <w:ind w:right="220"/>
              <w:spacing w:after="0"/>
              <w:rPr>
                <w:sz w:val="20"/>
                <w:szCs w:val="20"/>
                <w:color w:val="auto"/>
              </w:rPr>
            </w:pPr>
            <w:r>
              <w:rPr>
                <w:rFonts w:ascii="Arial" w:cs="Arial" w:eastAsia="Arial" w:hAnsi="Arial"/>
                <w:sz w:val="18"/>
                <w:szCs w:val="18"/>
                <w:color w:val="auto"/>
              </w:rPr>
              <w:t>16,594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15,444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16,962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16,733</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29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16,594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15,444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16,962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16,733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2760" w:type="dxa"/>
            <w:vAlign w:val="bottom"/>
            <w:tcBorders>
              <w:bottom w:val="single" w:sz="8" w:color="auto"/>
            </w:tcBorders>
            <w:gridSpan w:val="2"/>
          </w:tcPr>
          <w:p>
            <w:pPr>
              <w:jc w:val="right"/>
              <w:ind w:right="1030"/>
              <w:spacing w:after="0"/>
              <w:rPr>
                <w:sz w:val="20"/>
                <w:szCs w:val="20"/>
                <w:color w:val="auto"/>
              </w:rPr>
            </w:pPr>
            <w:r>
              <w:rPr>
                <w:rFonts w:ascii="Arial" w:cs="Arial" w:eastAsia="Arial" w:hAnsi="Arial"/>
                <w:sz w:val="18"/>
                <w:szCs w:val="18"/>
                <w:color w:val="auto"/>
              </w:rPr>
              <w:t>13</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452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Financial instruments at fair value through other comprehensive income (continued) </w:t>
      </w:r>
      <w:r>
        <w:rPr>
          <w:rFonts w:ascii="Arial" w:cs="Arial" w:eastAsia="Arial" w:hAnsi="Arial"/>
          <w:sz w:val="18"/>
          <w:szCs w:val="18"/>
          <w:u w:val="single" w:color="auto"/>
          <w:color w:val="auto"/>
        </w:rPr>
        <w:t>Securities at FVOCI (continued)</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significant changes in the gross carrying amount of securities at fair value through other comprehensive income during the period that contributed to changes in the allowance for expected credit loss, is provided at the table below:</w:t>
      </w:r>
    </w:p>
    <w:p>
      <w:pPr>
        <w:spacing w:after="0" w:line="96"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13,779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2,954</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(1,146)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(143)</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(1,289)</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2017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(1,146)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(143)</w:t>
            </w:r>
          </w:p>
        </w:tc>
        <w:tc>
          <w:tcPr>
            <w:tcW w:w="106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(1,289)</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September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12,633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2,811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27,821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2,786</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(14,042)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(13,874)</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2016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(14,042)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168</w:t>
            </w:r>
          </w:p>
        </w:tc>
        <w:tc>
          <w:tcPr>
            <w:tcW w:w="106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(13,874)</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13,779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2"/>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2"/>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45"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40"/>
          </w:cols>
          <w:pgMar w:left="240" w:top="877" w:right="31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340" w:hanging="332"/>
        <w:spacing w:after="0" w:line="566" w:lineRule="auto"/>
        <w:tabs>
          <w:tab w:leader="none" w:pos="340" w:val="left"/>
        </w:tabs>
        <w:numPr>
          <w:ilvl w:val="0"/>
          <w:numId w:val="1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Financial instruments (continued) </w:t>
      </w:r>
      <w:r>
        <w:rPr>
          <w:rFonts w:ascii="Arial" w:cs="Arial" w:eastAsia="Arial" w:hAnsi="Arial"/>
          <w:sz w:val="16"/>
          <w:szCs w:val="16"/>
          <w:u w:val="single" w:color="auto"/>
          <w:color w:val="auto"/>
        </w:rPr>
        <w:t>Securities at FVOCI (continued)</w:t>
      </w:r>
    </w:p>
    <w:p>
      <w:pPr>
        <w:ind w:left="340" w:right="38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allowance for expected credit losses relating to securities at fair value through other comprehensive income, which is recorded in equity under accumulated other comprehensive income (loss), is as follow:</w:t>
      </w:r>
    </w:p>
    <w:p>
      <w:pPr>
        <w:spacing w:after="0" w:line="96"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c>
          <w:tcPr>
            <w:tcW w:w="8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2017: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06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c>
          <w:tcPr>
            <w:tcW w:w="80" w:type="dxa"/>
            <w:vAlign w:val="bottom"/>
            <w:shd w:val="clear" w:color="auto" w:fill="CCEEFF"/>
          </w:tcPr>
          <w:p>
            <w:pPr>
              <w:spacing w:after="0"/>
              <w:rPr>
                <w:sz w:val="20"/>
                <w:szCs w:val="20"/>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23"/>
        </w:trPr>
        <w:tc>
          <w:tcPr>
            <w:tcW w:w="5380" w:type="dxa"/>
            <w:vAlign w:val="bottom"/>
          </w:tcPr>
          <w:p>
            <w:pPr>
              <w:spacing w:after="0"/>
              <w:rPr>
                <w:sz w:val="20"/>
                <w:szCs w:val="20"/>
                <w:color w:val="auto"/>
              </w:rPr>
            </w:pPr>
            <w:r>
              <w:rPr>
                <w:rFonts w:ascii="Arial" w:cs="Arial" w:eastAsia="Arial" w:hAnsi="Arial"/>
                <w:sz w:val="18"/>
                <w:szCs w:val="18"/>
                <w:b w:val="1"/>
                <w:bCs w:val="1"/>
                <w:color w:val="auto"/>
                <w:w w:val="99"/>
              </w:rPr>
              <w:t>Allowance for expected credit losses as of September 30, 2018</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202</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(71)</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(12)</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106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(83)</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23"/>
        </w:trPr>
        <w:tc>
          <w:tcPr>
            <w:tcW w:w="538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198</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4"/>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4"/>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4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480" w:hanging="332"/>
        <w:spacing w:after="0" w:line="566" w:lineRule="auto"/>
        <w:tabs>
          <w:tab w:leader="none" w:pos="340" w:val="left"/>
        </w:tabs>
        <w:numPr>
          <w:ilvl w:val="0"/>
          <w:numId w:val="1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instruments (continued) Securities at amortized cost</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amortized cost, related unrealized gross gain (loss) and fair value of these securities by country risk and type of debt, excluding the amounts of allowance for expected credit losses are as follows: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80" w:type="dxa"/>
            <w:vAlign w:val="bottom"/>
            <w:tcBorders>
              <w:bottom w:val="single" w:sz="8" w:color="auto"/>
            </w:tcBorders>
            <w:gridSpan w:val="4"/>
          </w:tcPr>
          <w:p>
            <w:pPr>
              <w:jc w:val="center"/>
              <w:ind w:left="250"/>
              <w:spacing w:after="0"/>
              <w:rPr>
                <w:sz w:val="20"/>
                <w:szCs w:val="20"/>
                <w:color w:val="auto"/>
              </w:rPr>
            </w:pPr>
            <w:r>
              <w:rPr>
                <w:rFonts w:ascii="Arial" w:cs="Arial" w:eastAsia="Arial" w:hAnsi="Arial"/>
                <w:sz w:val="18"/>
                <w:szCs w:val="18"/>
                <w:b w:val="1"/>
                <w:bCs w:val="1"/>
                <w:color w:val="auto"/>
                <w:w w:val="89"/>
              </w:rPr>
              <w:t>September 30, 2018</w:t>
            </w:r>
          </w:p>
        </w:tc>
        <w:tc>
          <w:tcPr>
            <w:tcW w:w="3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840" w:type="dxa"/>
            <w:vAlign w:val="bottom"/>
            <w:tcBorders>
              <w:bottom w:val="single" w:sz="8" w:color="auto"/>
            </w:tcBorders>
          </w:tcPr>
          <w:p>
            <w:pPr>
              <w:spacing w:after="0"/>
              <w:rPr>
                <w:sz w:val="19"/>
                <w:szCs w:val="19"/>
                <w:color w:val="auto"/>
              </w:rPr>
            </w:pPr>
          </w:p>
        </w:tc>
        <w:tc>
          <w:tcPr>
            <w:tcW w:w="1440" w:type="dxa"/>
            <w:vAlign w:val="bottom"/>
            <w:tcBorders>
              <w:bottom w:val="single" w:sz="8" w:color="auto"/>
            </w:tcBorders>
            <w:gridSpan w:val="3"/>
          </w:tcPr>
          <w:p>
            <w:pPr>
              <w:jc w:val="center"/>
              <w:ind w:right="410"/>
              <w:spacing w:after="0"/>
              <w:rPr>
                <w:sz w:val="20"/>
                <w:szCs w:val="20"/>
                <w:color w:val="auto"/>
              </w:rPr>
            </w:pPr>
            <w:r>
              <w:rPr>
                <w:rFonts w:ascii="Arial" w:cs="Arial" w:eastAsia="Arial" w:hAnsi="Arial"/>
                <w:sz w:val="18"/>
                <w:szCs w:val="18"/>
                <w:b w:val="1"/>
                <w:bCs w:val="1"/>
                <w:color w:val="auto"/>
                <w:w w:val="90"/>
              </w:rPr>
              <w:t>Unrealized</w:t>
            </w:r>
          </w:p>
        </w:tc>
        <w:tc>
          <w:tcPr>
            <w:tcW w:w="3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84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(1)</w:t>
            </w:r>
          </w:p>
        </w:tc>
        <w:tc>
          <w:tcPr>
            <w:tcW w:w="840" w:type="dxa"/>
            <w:vAlign w:val="bottom"/>
          </w:tcPr>
          <w:p>
            <w:pPr>
              <w:ind w:left="400"/>
              <w:spacing w:after="0"/>
              <w:rPr>
                <w:sz w:val="20"/>
                <w:szCs w:val="20"/>
                <w:color w:val="auto"/>
              </w:rPr>
            </w:pPr>
            <w:r>
              <w:rPr>
                <w:rFonts w:ascii="Arial" w:cs="Arial" w:eastAsia="Arial" w:hAnsi="Arial"/>
                <w:sz w:val="18"/>
                <w:szCs w:val="18"/>
                <w:b w:val="1"/>
                <w:bCs w:val="1"/>
                <w:color w:val="auto"/>
              </w:rPr>
              <w:t>Gain</w:t>
            </w:r>
          </w:p>
        </w:tc>
        <w:tc>
          <w:tcPr>
            <w:tcW w:w="36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860" w:type="dxa"/>
            <w:vAlign w:val="bottom"/>
          </w:tcPr>
          <w:p>
            <w:pPr>
              <w:ind w:left="420"/>
              <w:spacing w:after="0"/>
              <w:rPr>
                <w:sz w:val="20"/>
                <w:szCs w:val="20"/>
                <w:color w:val="auto"/>
              </w:rPr>
            </w:pPr>
            <w:r>
              <w:rPr>
                <w:rFonts w:ascii="Arial" w:cs="Arial" w:eastAsia="Arial" w:hAnsi="Arial"/>
                <w:sz w:val="18"/>
                <w:szCs w:val="18"/>
                <w:b w:val="1"/>
                <w:bCs w:val="1"/>
                <w:color w:val="auto"/>
                <w:w w:val="99"/>
              </w:rPr>
              <w:t>Loss</w:t>
            </w:r>
          </w:p>
        </w:tc>
        <w:tc>
          <w:tcPr>
            <w:tcW w:w="3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1,489</w:t>
            </w:r>
          </w:p>
        </w:tc>
        <w:tc>
          <w:tcPr>
            <w:tcW w:w="840" w:type="dxa"/>
            <w:vAlign w:val="bottom"/>
          </w:tcPr>
          <w:p>
            <w:pPr>
              <w:spacing w:after="0"/>
              <w:rPr>
                <w:sz w:val="18"/>
                <w:szCs w:val="18"/>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26</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1,463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6,787</w:t>
            </w:r>
          </w:p>
        </w:tc>
        <w:tc>
          <w:tcPr>
            <w:tcW w:w="8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6,778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12,805</w:t>
            </w:r>
          </w:p>
        </w:tc>
        <w:tc>
          <w:tcPr>
            <w:tcW w:w="840" w:type="dxa"/>
            <w:vAlign w:val="bottom"/>
          </w:tcPr>
          <w:p>
            <w:pPr>
              <w:spacing w:after="0"/>
              <w:rPr>
                <w:sz w:val="19"/>
                <w:szCs w:val="19"/>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27</w:t>
            </w:r>
          </w:p>
        </w:tc>
        <w:tc>
          <w:tcPr>
            <w:tcW w:w="860" w:type="dxa"/>
            <w:vAlign w:val="bottom"/>
          </w:tcPr>
          <w:p>
            <w:pPr>
              <w:spacing w:after="0"/>
              <w:rPr>
                <w:sz w:val="19"/>
                <w:szCs w:val="19"/>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12,832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21,081</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21,073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28,389</w:t>
            </w:r>
          </w:p>
        </w:tc>
        <w:tc>
          <w:tcPr>
            <w:tcW w:w="840" w:type="dxa"/>
            <w:vAlign w:val="bottom"/>
          </w:tcPr>
          <w:p>
            <w:pPr>
              <w:spacing w:after="0"/>
              <w:rPr>
                <w:sz w:val="18"/>
                <w:szCs w:val="18"/>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106</w:t>
            </w:r>
          </w:p>
        </w:tc>
        <w:tc>
          <w:tcPr>
            <w:tcW w:w="860" w:type="dxa"/>
            <w:vAlign w:val="bottom"/>
          </w:tcPr>
          <w:p>
            <w:pPr>
              <w:spacing w:after="0"/>
              <w:rPr>
                <w:sz w:val="18"/>
                <w:szCs w:val="18"/>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261</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28,234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19,944</w:t>
            </w:r>
          </w:p>
        </w:tc>
        <w:tc>
          <w:tcPr>
            <w:tcW w:w="8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19,281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8,295</w:t>
            </w:r>
          </w:p>
        </w:tc>
        <w:tc>
          <w:tcPr>
            <w:tcW w:w="840" w:type="dxa"/>
            <w:vAlign w:val="bottom"/>
          </w:tcPr>
          <w:p>
            <w:pPr>
              <w:spacing w:after="0"/>
              <w:rPr>
                <w:sz w:val="19"/>
                <w:szCs w:val="19"/>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spacing w:after="0"/>
              <w:rPr>
                <w:sz w:val="19"/>
                <w:szCs w:val="19"/>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8,271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56,628</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55,786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77,709</w:t>
            </w:r>
          </w:p>
        </w:tc>
        <w:tc>
          <w:tcPr>
            <w:tcW w:w="220" w:type="dxa"/>
            <w:vAlign w:val="bottom"/>
          </w:tcPr>
          <w:p>
            <w:pPr>
              <w:spacing w:after="0"/>
              <w:rPr>
                <w:sz w:val="19"/>
                <w:szCs w:val="19"/>
                <w:color w:val="auto"/>
              </w:rPr>
            </w:pPr>
          </w:p>
        </w:tc>
        <w:tc>
          <w:tcPr>
            <w:tcW w:w="840" w:type="dxa"/>
            <w:vAlign w:val="bottom"/>
            <w:tcBorders>
              <w:bottom w:val="single" w:sz="8" w:color="auto"/>
            </w:tcBorders>
          </w:tcPr>
          <w:p>
            <w:pPr>
              <w:spacing w:after="0"/>
              <w:rPr>
                <w:sz w:val="19"/>
                <w:szCs w:val="19"/>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w:t>
            </w:r>
          </w:p>
        </w:tc>
        <w:tc>
          <w:tcPr>
            <w:tcW w:w="220" w:type="dxa"/>
            <w:vAlign w:val="bottom"/>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983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76,859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3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4"/>
          </w:tcPr>
          <w:p>
            <w:pPr>
              <w:jc w:val="center"/>
              <w:ind w:left="250"/>
              <w:spacing w:after="0"/>
              <w:rPr>
                <w:sz w:val="20"/>
                <w:szCs w:val="20"/>
                <w:color w:val="auto"/>
              </w:rPr>
            </w:pPr>
            <w:r>
              <w:rPr>
                <w:rFonts w:ascii="Arial" w:cs="Arial" w:eastAsia="Arial" w:hAnsi="Arial"/>
                <w:sz w:val="18"/>
                <w:szCs w:val="18"/>
                <w:b w:val="1"/>
                <w:bCs w:val="1"/>
                <w:color w:val="auto"/>
                <w:w w:val="90"/>
              </w:rPr>
              <w:t>December 31, 2017</w:t>
            </w:r>
          </w:p>
        </w:tc>
        <w:tc>
          <w:tcPr>
            <w:tcW w:w="3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840" w:type="dxa"/>
            <w:vAlign w:val="bottom"/>
            <w:tcBorders>
              <w:bottom w:val="single" w:sz="8" w:color="auto"/>
            </w:tcBorders>
          </w:tcPr>
          <w:p>
            <w:pPr>
              <w:spacing w:after="0"/>
              <w:rPr>
                <w:sz w:val="19"/>
                <w:szCs w:val="19"/>
                <w:color w:val="auto"/>
              </w:rPr>
            </w:pPr>
          </w:p>
        </w:tc>
        <w:tc>
          <w:tcPr>
            <w:tcW w:w="1440" w:type="dxa"/>
            <w:vAlign w:val="bottom"/>
            <w:tcBorders>
              <w:bottom w:val="single" w:sz="8" w:color="auto"/>
            </w:tcBorders>
            <w:gridSpan w:val="3"/>
          </w:tcPr>
          <w:p>
            <w:pPr>
              <w:jc w:val="center"/>
              <w:ind w:right="410"/>
              <w:spacing w:after="0"/>
              <w:rPr>
                <w:sz w:val="20"/>
                <w:szCs w:val="20"/>
                <w:color w:val="auto"/>
              </w:rPr>
            </w:pPr>
            <w:r>
              <w:rPr>
                <w:rFonts w:ascii="Arial" w:cs="Arial" w:eastAsia="Arial" w:hAnsi="Arial"/>
                <w:sz w:val="18"/>
                <w:szCs w:val="18"/>
                <w:b w:val="1"/>
                <w:bCs w:val="1"/>
                <w:color w:val="auto"/>
                <w:w w:val="90"/>
              </w:rPr>
              <w:t>Unrealized</w:t>
            </w:r>
          </w:p>
        </w:tc>
        <w:tc>
          <w:tcPr>
            <w:tcW w:w="3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84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(2)</w:t>
            </w:r>
          </w:p>
        </w:tc>
        <w:tc>
          <w:tcPr>
            <w:tcW w:w="840" w:type="dxa"/>
            <w:vAlign w:val="bottom"/>
          </w:tcPr>
          <w:p>
            <w:pPr>
              <w:ind w:left="400"/>
              <w:spacing w:after="0"/>
              <w:rPr>
                <w:sz w:val="20"/>
                <w:szCs w:val="20"/>
                <w:color w:val="auto"/>
              </w:rPr>
            </w:pPr>
            <w:r>
              <w:rPr>
                <w:rFonts w:ascii="Arial" w:cs="Arial" w:eastAsia="Arial" w:hAnsi="Arial"/>
                <w:sz w:val="18"/>
                <w:szCs w:val="18"/>
                <w:b w:val="1"/>
                <w:bCs w:val="1"/>
                <w:color w:val="auto"/>
              </w:rPr>
              <w:t>Gain</w:t>
            </w:r>
          </w:p>
        </w:tc>
        <w:tc>
          <w:tcPr>
            <w:tcW w:w="36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860" w:type="dxa"/>
            <w:vAlign w:val="bottom"/>
          </w:tcPr>
          <w:p>
            <w:pPr>
              <w:ind w:left="420"/>
              <w:spacing w:after="0"/>
              <w:rPr>
                <w:sz w:val="20"/>
                <w:szCs w:val="20"/>
                <w:color w:val="auto"/>
              </w:rPr>
            </w:pPr>
            <w:r>
              <w:rPr>
                <w:rFonts w:ascii="Arial" w:cs="Arial" w:eastAsia="Arial" w:hAnsi="Arial"/>
                <w:sz w:val="18"/>
                <w:szCs w:val="18"/>
                <w:b w:val="1"/>
                <w:bCs w:val="1"/>
                <w:color w:val="auto"/>
                <w:w w:val="99"/>
              </w:rPr>
              <w:t>Loss</w:t>
            </w:r>
          </w:p>
        </w:tc>
        <w:tc>
          <w:tcPr>
            <w:tcW w:w="3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1,485</w:t>
            </w:r>
          </w:p>
        </w:tc>
        <w:tc>
          <w:tcPr>
            <w:tcW w:w="840" w:type="dxa"/>
            <w:vAlign w:val="bottom"/>
          </w:tcPr>
          <w:p>
            <w:pPr>
              <w:spacing w:after="0"/>
              <w:rPr>
                <w:sz w:val="18"/>
                <w:szCs w:val="18"/>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3</w:t>
            </w:r>
          </w:p>
        </w:tc>
        <w:tc>
          <w:tcPr>
            <w:tcW w:w="86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1,488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9,978</w:t>
            </w:r>
          </w:p>
        </w:tc>
        <w:tc>
          <w:tcPr>
            <w:tcW w:w="84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spacing w:after="0"/>
              <w:rPr>
                <w:sz w:val="19"/>
                <w:szCs w:val="19"/>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9,978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11,463</w:t>
            </w:r>
          </w:p>
        </w:tc>
        <w:tc>
          <w:tcPr>
            <w:tcW w:w="22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spacing w:after="0"/>
              <w:rPr>
                <w:sz w:val="18"/>
                <w:szCs w:val="18"/>
                <w:color w:val="auto"/>
              </w:rPr>
            </w:pP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w:t>
            </w:r>
          </w:p>
        </w:tc>
        <w:tc>
          <w:tcPr>
            <w:tcW w:w="2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spacing w:after="0"/>
              <w:rPr>
                <w:sz w:val="18"/>
                <w:szCs w:val="18"/>
                <w:color w:val="auto"/>
              </w:rPr>
            </w:pP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11,466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29,006</w:t>
            </w:r>
          </w:p>
        </w:tc>
        <w:tc>
          <w:tcPr>
            <w:tcW w:w="840" w:type="dxa"/>
            <w:vAlign w:val="bottom"/>
          </w:tcPr>
          <w:p>
            <w:pPr>
              <w:spacing w:after="0"/>
              <w:rPr>
                <w:sz w:val="18"/>
                <w:szCs w:val="18"/>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86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16</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29,057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20,203</w:t>
            </w:r>
          </w:p>
        </w:tc>
        <w:tc>
          <w:tcPr>
            <w:tcW w:w="84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20,036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8,458</w:t>
            </w:r>
          </w:p>
        </w:tc>
        <w:tc>
          <w:tcPr>
            <w:tcW w:w="840" w:type="dxa"/>
            <w:vAlign w:val="bottom"/>
          </w:tcPr>
          <w:p>
            <w:pPr>
              <w:spacing w:after="0"/>
              <w:rPr>
                <w:sz w:val="19"/>
                <w:szCs w:val="19"/>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spacing w:after="0"/>
              <w:rPr>
                <w:sz w:val="19"/>
                <w:szCs w:val="19"/>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11</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8,447</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57,667</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57,540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69,130</w:t>
            </w:r>
          </w:p>
        </w:tc>
        <w:tc>
          <w:tcPr>
            <w:tcW w:w="220" w:type="dxa"/>
            <w:vAlign w:val="bottom"/>
          </w:tcPr>
          <w:p>
            <w:pPr>
              <w:spacing w:after="0"/>
              <w:rPr>
                <w:sz w:val="19"/>
                <w:szCs w:val="19"/>
                <w:color w:val="auto"/>
              </w:rPr>
            </w:pPr>
          </w:p>
        </w:tc>
        <w:tc>
          <w:tcPr>
            <w:tcW w:w="840" w:type="dxa"/>
            <w:vAlign w:val="bottom"/>
            <w:tcBorders>
              <w:bottom w:val="single" w:sz="8" w:color="auto"/>
            </w:tcBorders>
          </w:tcPr>
          <w:p>
            <w:pPr>
              <w:spacing w:after="0"/>
              <w:rPr>
                <w:sz w:val="19"/>
                <w:szCs w:val="19"/>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w:t>
            </w:r>
          </w:p>
        </w:tc>
        <w:tc>
          <w:tcPr>
            <w:tcW w:w="220" w:type="dxa"/>
            <w:vAlign w:val="bottom"/>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69,006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16"/>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$147.</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16"/>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$196.</w:t>
      </w:r>
    </w:p>
    <w:p>
      <w:pPr>
        <w:spacing w:after="0" w:line="202" w:lineRule="exact"/>
        <w:rPr>
          <w:sz w:val="20"/>
          <w:szCs w:val="20"/>
          <w:color w:val="auto"/>
        </w:rPr>
      </w:pPr>
    </w:p>
    <w:p>
      <w:pPr>
        <w:ind w:left="340" w:right="20"/>
        <w:spacing w:after="0" w:line="342" w:lineRule="auto"/>
        <w:rPr>
          <w:sz w:val="20"/>
          <w:szCs w:val="20"/>
          <w:color w:val="auto"/>
        </w:rPr>
      </w:pPr>
      <w:r>
        <w:rPr>
          <w:rFonts w:ascii="Arial" w:cs="Arial" w:eastAsia="Arial" w:hAnsi="Arial"/>
          <w:sz w:val="16"/>
          <w:szCs w:val="16"/>
          <w:color w:val="222222"/>
        </w:rPr>
        <w:t xml:space="preserve">As of September 30, 2018, </w:t>
      </w:r>
      <w:r>
        <w:rPr>
          <w:rFonts w:ascii="Arial" w:cs="Arial" w:eastAsia="Arial" w:hAnsi="Arial"/>
          <w:sz w:val="16"/>
          <w:szCs w:val="16"/>
          <w:color w:val="000000"/>
        </w:rPr>
        <w:t>securities at amortized cost with a carrying value of $37 million, were pledged to secure repurchase transactions accounted for</w:t>
      </w:r>
      <w:r>
        <w:rPr>
          <w:rFonts w:ascii="Arial" w:cs="Arial" w:eastAsia="Arial" w:hAnsi="Arial"/>
          <w:sz w:val="16"/>
          <w:szCs w:val="16"/>
          <w:color w:val="222222"/>
        </w:rPr>
        <w:t xml:space="preserve"> </w:t>
      </w:r>
      <w:r>
        <w:rPr>
          <w:rFonts w:ascii="Arial" w:cs="Arial" w:eastAsia="Arial" w:hAnsi="Arial"/>
          <w:sz w:val="16"/>
          <w:szCs w:val="16"/>
          <w:color w:val="000000"/>
        </w:rPr>
        <w:t xml:space="preserve">as secured financings. </w:t>
      </w:r>
      <w:r>
        <w:rPr>
          <w:rFonts w:ascii="Arial" w:cs="Arial" w:eastAsia="Arial" w:hAnsi="Arial"/>
          <w:sz w:val="16"/>
          <w:szCs w:val="16"/>
          <w:color w:val="222222"/>
        </w:rPr>
        <w:t>As of December 31, 2017, there were no securities at amortized cost accounted for as secured financial liabilities.</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900" w:hanging="332"/>
        <w:spacing w:after="0" w:line="604" w:lineRule="auto"/>
        <w:tabs>
          <w:tab w:leader="none" w:pos="340" w:val="left"/>
        </w:tabs>
        <w:numPr>
          <w:ilvl w:val="0"/>
          <w:numId w:val="17"/>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Securities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amortized cost and fair value of securities at amortized cost by contractual maturity are shown in the following tables: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6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4"/>
          </w:tcPr>
          <w:p>
            <w:pPr>
              <w:jc w:val="right"/>
              <w:ind w:right="470"/>
              <w:spacing w:after="0"/>
              <w:rPr>
                <w:sz w:val="20"/>
                <w:szCs w:val="20"/>
                <w:color w:val="auto"/>
              </w:rPr>
            </w:pPr>
            <w:r>
              <w:rPr>
                <w:rFonts w:ascii="Arial" w:cs="Arial" w:eastAsia="Arial" w:hAnsi="Arial"/>
                <w:sz w:val="18"/>
                <w:szCs w:val="18"/>
                <w:b w:val="1"/>
                <w:bCs w:val="1"/>
                <w:color w:val="auto"/>
              </w:rPr>
              <w:t>September 30, 2018</w:t>
            </w:r>
          </w:p>
        </w:tc>
        <w:tc>
          <w:tcPr>
            <w:tcW w:w="220" w:type="dxa"/>
            <w:vAlign w:val="bottom"/>
            <w:gridSpan w:val="2"/>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5"/>
          </w:tcPr>
          <w:p>
            <w:pPr>
              <w:jc w:val="right"/>
              <w:ind w:right="490"/>
              <w:spacing w:after="0"/>
              <w:rPr>
                <w:sz w:val="20"/>
                <w:szCs w:val="20"/>
                <w:color w:val="auto"/>
              </w:rPr>
            </w:pPr>
            <w:r>
              <w:rPr>
                <w:rFonts w:ascii="Arial" w:cs="Arial" w:eastAsia="Arial" w:hAnsi="Arial"/>
                <w:sz w:val="18"/>
                <w:szCs w:val="18"/>
                <w:b w:val="1"/>
                <w:bCs w:val="1"/>
                <w:color w:val="auto"/>
              </w:rPr>
              <w:t>December 31, 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5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3760" w:type="dxa"/>
            <w:vAlign w:val="bottom"/>
          </w:tcPr>
          <w:p>
            <w:pPr>
              <w:spacing w:after="0"/>
              <w:rPr>
                <w:sz w:val="17"/>
                <w:szCs w:val="17"/>
                <w:color w:val="auto"/>
              </w:rPr>
            </w:pPr>
          </w:p>
        </w:tc>
        <w:tc>
          <w:tcPr>
            <w:tcW w:w="1420" w:type="dxa"/>
            <w:vAlign w:val="bottom"/>
            <w:gridSpan w:val="3"/>
          </w:tcPr>
          <w:p>
            <w:pPr>
              <w:jc w:val="right"/>
              <w:ind w:right="400"/>
              <w:spacing w:after="0" w:line="196" w:lineRule="exact"/>
              <w:rPr>
                <w:sz w:val="20"/>
                <w:szCs w:val="20"/>
                <w:color w:val="auto"/>
              </w:rPr>
            </w:pPr>
            <w:r>
              <w:rPr>
                <w:rFonts w:ascii="Arial" w:cs="Arial" w:eastAsia="Arial" w:hAnsi="Arial"/>
                <w:sz w:val="18"/>
                <w:szCs w:val="18"/>
                <w:b w:val="1"/>
                <w:bCs w:val="1"/>
                <w:color w:val="auto"/>
              </w:rPr>
              <w:t>Amortized</w:t>
            </w:r>
          </w:p>
        </w:tc>
        <w:tc>
          <w:tcPr>
            <w:tcW w:w="20" w:type="dxa"/>
            <w:vAlign w:val="bottom"/>
          </w:tcPr>
          <w:p>
            <w:pPr>
              <w:spacing w:after="0"/>
              <w:rPr>
                <w:sz w:val="17"/>
                <w:szCs w:val="17"/>
                <w:color w:val="auto"/>
              </w:rPr>
            </w:pPr>
          </w:p>
        </w:tc>
        <w:tc>
          <w:tcPr>
            <w:tcW w:w="1400" w:type="dxa"/>
            <w:vAlign w:val="bottom"/>
            <w:gridSpan w:val="3"/>
          </w:tcPr>
          <w:p>
            <w:pPr>
              <w:jc w:val="center"/>
              <w:ind w:right="240"/>
              <w:spacing w:after="0" w:line="196" w:lineRule="exact"/>
              <w:rPr>
                <w:sz w:val="20"/>
                <w:szCs w:val="20"/>
                <w:color w:val="auto"/>
              </w:rPr>
            </w:pPr>
            <w:r>
              <w:rPr>
                <w:rFonts w:ascii="Arial" w:cs="Arial" w:eastAsia="Arial" w:hAnsi="Arial"/>
                <w:sz w:val="18"/>
                <w:szCs w:val="18"/>
                <w:b w:val="1"/>
                <w:bCs w:val="1"/>
                <w:color w:val="auto"/>
                <w:w w:val="96"/>
              </w:rPr>
              <w:t>Fair</w:t>
            </w:r>
          </w:p>
        </w:tc>
        <w:tc>
          <w:tcPr>
            <w:tcW w:w="40" w:type="dxa"/>
            <w:vAlign w:val="bottom"/>
          </w:tcPr>
          <w:p>
            <w:pPr>
              <w:spacing w:after="0"/>
              <w:rPr>
                <w:sz w:val="17"/>
                <w:szCs w:val="17"/>
                <w:color w:val="auto"/>
              </w:rPr>
            </w:pPr>
          </w:p>
        </w:tc>
        <w:tc>
          <w:tcPr>
            <w:tcW w:w="1380" w:type="dxa"/>
            <w:vAlign w:val="bottom"/>
            <w:gridSpan w:val="4"/>
          </w:tcPr>
          <w:p>
            <w:pPr>
              <w:ind w:left="140"/>
              <w:spacing w:after="0" w:line="196" w:lineRule="exact"/>
              <w:rPr>
                <w:sz w:val="20"/>
                <w:szCs w:val="20"/>
                <w:color w:val="auto"/>
              </w:rPr>
            </w:pPr>
            <w:r>
              <w:rPr>
                <w:rFonts w:ascii="Arial" w:cs="Arial" w:eastAsia="Arial" w:hAnsi="Arial"/>
                <w:sz w:val="18"/>
                <w:szCs w:val="18"/>
                <w:b w:val="1"/>
                <w:bCs w:val="1"/>
                <w:color w:val="auto"/>
              </w:rPr>
              <w:t>Amortized</w:t>
            </w:r>
          </w:p>
        </w:tc>
        <w:tc>
          <w:tcPr>
            <w:tcW w:w="1300" w:type="dxa"/>
            <w:vAlign w:val="bottom"/>
            <w:gridSpan w:val="2"/>
          </w:tcPr>
          <w:p>
            <w:pPr>
              <w:jc w:val="center"/>
              <w:ind w:right="100"/>
              <w:spacing w:after="0" w:line="196" w:lineRule="exact"/>
              <w:rPr>
                <w:sz w:val="20"/>
                <w:szCs w:val="20"/>
                <w:color w:val="auto"/>
              </w:rPr>
            </w:pPr>
            <w:r>
              <w:rPr>
                <w:rFonts w:ascii="Arial" w:cs="Arial" w:eastAsia="Arial" w:hAnsi="Arial"/>
                <w:sz w:val="18"/>
                <w:szCs w:val="18"/>
                <w:b w:val="1"/>
                <w:bCs w:val="1"/>
                <w:color w:val="auto"/>
                <w:w w:val="96"/>
              </w:rPr>
              <w:t>Fair</w:t>
            </w:r>
          </w:p>
        </w:tc>
        <w:tc>
          <w:tcPr>
            <w:tcW w:w="0" w:type="dxa"/>
            <w:vAlign w:val="bottom"/>
          </w:tcPr>
          <w:p>
            <w:pPr>
              <w:spacing w:after="0"/>
              <w:rPr>
                <w:sz w:val="1"/>
                <w:szCs w:val="1"/>
                <w:color w:val="auto"/>
              </w:rPr>
            </w:pPr>
          </w:p>
        </w:tc>
      </w:tr>
      <w:tr>
        <w:trPr>
          <w:trHeight w:val="270"/>
        </w:trPr>
        <w:tc>
          <w:tcPr>
            <w:tcW w:w="560" w:type="dxa"/>
            <w:vAlign w:val="bottom"/>
          </w:tcPr>
          <w:p>
            <w:pPr>
              <w:spacing w:after="0"/>
              <w:rPr>
                <w:sz w:val="23"/>
                <w:szCs w:val="23"/>
                <w:color w:val="auto"/>
              </w:rPr>
            </w:pPr>
          </w:p>
        </w:tc>
        <w:tc>
          <w:tcPr>
            <w:tcW w:w="1060" w:type="dxa"/>
            <w:vAlign w:val="bottom"/>
          </w:tcPr>
          <w:p>
            <w:pPr>
              <w:spacing w:after="0"/>
              <w:rPr>
                <w:sz w:val="23"/>
                <w:szCs w:val="23"/>
                <w:color w:val="auto"/>
              </w:rPr>
            </w:pPr>
          </w:p>
        </w:tc>
        <w:tc>
          <w:tcPr>
            <w:tcW w:w="3760" w:type="dxa"/>
            <w:vAlign w:val="bottom"/>
          </w:tcPr>
          <w:p>
            <w:pPr>
              <w:spacing w:after="0"/>
              <w:rPr>
                <w:sz w:val="23"/>
                <w:szCs w:val="23"/>
                <w:color w:val="auto"/>
              </w:rPr>
            </w:pPr>
          </w:p>
        </w:tc>
        <w:tc>
          <w:tcPr>
            <w:tcW w:w="320" w:type="dxa"/>
            <w:vAlign w:val="bottom"/>
          </w:tcPr>
          <w:p>
            <w:pPr>
              <w:spacing w:after="0"/>
              <w:rPr>
                <w:sz w:val="23"/>
                <w:szCs w:val="23"/>
                <w:color w:val="auto"/>
              </w:rPr>
            </w:pPr>
          </w:p>
        </w:tc>
        <w:tc>
          <w:tcPr>
            <w:tcW w:w="1100" w:type="dxa"/>
            <w:vAlign w:val="bottom"/>
            <w:gridSpan w:val="2"/>
          </w:tcPr>
          <w:p>
            <w:pPr>
              <w:jc w:val="right"/>
              <w:ind w:right="560"/>
              <w:spacing w:after="0" w:line="269"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(1)</w:t>
            </w:r>
          </w:p>
        </w:tc>
        <w:tc>
          <w:tcPr>
            <w:tcW w:w="20" w:type="dxa"/>
            <w:vAlign w:val="bottom"/>
          </w:tcPr>
          <w:p>
            <w:pPr>
              <w:spacing w:after="0"/>
              <w:rPr>
                <w:sz w:val="23"/>
                <w:szCs w:val="23"/>
                <w:color w:val="auto"/>
              </w:rPr>
            </w:pPr>
          </w:p>
        </w:tc>
        <w:tc>
          <w:tcPr>
            <w:tcW w:w="140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6"/>
              </w:rPr>
              <w:t>value</w:t>
            </w:r>
          </w:p>
        </w:tc>
        <w:tc>
          <w:tcPr>
            <w:tcW w:w="40" w:type="dxa"/>
            <w:vAlign w:val="bottom"/>
          </w:tcPr>
          <w:p>
            <w:pPr>
              <w:spacing w:after="0"/>
              <w:rPr>
                <w:sz w:val="23"/>
                <w:szCs w:val="23"/>
                <w:color w:val="auto"/>
              </w:rPr>
            </w:pPr>
          </w:p>
        </w:tc>
        <w:tc>
          <w:tcPr>
            <w:tcW w:w="1380" w:type="dxa"/>
            <w:vAlign w:val="bottom"/>
            <w:gridSpan w:val="4"/>
          </w:tcPr>
          <w:p>
            <w:pPr>
              <w:jc w:val="right"/>
              <w:ind w:right="560"/>
              <w:spacing w:after="0" w:line="269" w:lineRule="exact"/>
              <w:rPr>
                <w:sz w:val="20"/>
                <w:szCs w:val="20"/>
                <w:color w:val="auto"/>
              </w:rPr>
            </w:pPr>
            <w:r>
              <w:rPr>
                <w:rFonts w:ascii="Arial" w:cs="Arial" w:eastAsia="Arial" w:hAnsi="Arial"/>
                <w:sz w:val="18"/>
                <w:szCs w:val="18"/>
                <w:b w:val="1"/>
                <w:bCs w:val="1"/>
                <w:color w:val="auto"/>
              </w:rPr>
              <w:t xml:space="preserve">cost </w:t>
            </w:r>
            <w:r>
              <w:rPr>
                <w:rFonts w:ascii="Arial" w:cs="Arial" w:eastAsia="Arial" w:hAnsi="Arial"/>
                <w:sz w:val="30"/>
                <w:szCs w:val="30"/>
                <w:b w:val="1"/>
                <w:bCs w:val="1"/>
                <w:color w:val="auto"/>
                <w:vertAlign w:val="superscript"/>
              </w:rPr>
              <w:t>(2)</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10"/>
        </w:trPr>
        <w:tc>
          <w:tcPr>
            <w:tcW w:w="5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7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25,092</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25,223</w:t>
            </w: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7,978</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7,978</w:t>
            </w:r>
          </w:p>
        </w:tc>
        <w:tc>
          <w:tcPr>
            <w:tcW w:w="0" w:type="dxa"/>
            <w:vAlign w:val="bottom"/>
          </w:tcPr>
          <w:p>
            <w:pPr>
              <w:spacing w:after="0"/>
              <w:rPr>
                <w:sz w:val="1"/>
                <w:szCs w:val="1"/>
                <w:color w:val="auto"/>
              </w:rPr>
            </w:pPr>
          </w:p>
        </w:tc>
      </w:tr>
      <w:tr>
        <w:trPr>
          <w:trHeight w:val="216"/>
        </w:trPr>
        <w:tc>
          <w:tcPr>
            <w:tcW w:w="5700" w:type="dxa"/>
            <w:vAlign w:val="bottom"/>
            <w:gridSpan w:val="4"/>
          </w:tcPr>
          <w:p>
            <w:pPr>
              <w:spacing w:after="0"/>
              <w:rPr>
                <w:sz w:val="20"/>
                <w:szCs w:val="20"/>
                <w:color w:val="auto"/>
              </w:rPr>
            </w:pPr>
            <w:r>
              <w:rPr>
                <w:rFonts w:ascii="Arial" w:cs="Arial" w:eastAsia="Arial" w:hAnsi="Arial"/>
                <w:sz w:val="18"/>
                <w:szCs w:val="18"/>
                <w:color w:val="auto"/>
              </w:rPr>
              <w:t>After 1 year but within 5 years</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52,617</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51,636</w:t>
            </w:r>
          </w:p>
        </w:tc>
        <w:tc>
          <w:tcPr>
            <w:tcW w:w="120" w:type="dxa"/>
            <w:vAlign w:val="bottom"/>
          </w:tcPr>
          <w:p>
            <w:pPr>
              <w:spacing w:after="0"/>
              <w:rPr>
                <w:sz w:val="18"/>
                <w:szCs w:val="18"/>
                <w:color w:val="auto"/>
              </w:rPr>
            </w:pP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61,152</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61,028</w:t>
            </w:r>
          </w:p>
        </w:tc>
        <w:tc>
          <w:tcPr>
            <w:tcW w:w="0" w:type="dxa"/>
            <w:vAlign w:val="bottom"/>
          </w:tcPr>
          <w:p>
            <w:pPr>
              <w:spacing w:after="0"/>
              <w:rPr>
                <w:sz w:val="1"/>
                <w:szCs w:val="1"/>
                <w:color w:val="auto"/>
              </w:rPr>
            </w:pPr>
          </w:p>
        </w:tc>
      </w:tr>
      <w:tr>
        <w:trPr>
          <w:trHeight w:val="230"/>
        </w:trPr>
        <w:tc>
          <w:tcPr>
            <w:tcW w:w="57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376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77,709</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76,859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69,130</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69,006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560" w:type="dxa"/>
            <w:vAlign w:val="bottom"/>
          </w:tcPr>
          <w:p>
            <w:pPr>
              <w:ind w:left="320"/>
              <w:spacing w:after="0"/>
              <w:rPr>
                <w:sz w:val="20"/>
                <w:szCs w:val="20"/>
                <w:color w:val="auto"/>
              </w:rPr>
            </w:pPr>
            <w:r>
              <w:rPr>
                <w:rFonts w:ascii="Arial" w:cs="Arial" w:eastAsia="Arial" w:hAnsi="Arial"/>
                <w:sz w:val="15"/>
                <w:szCs w:val="15"/>
                <w:color w:val="auto"/>
              </w:rPr>
              <w:t>(1)</w:t>
            </w:r>
          </w:p>
        </w:tc>
        <w:tc>
          <w:tcPr>
            <w:tcW w:w="5140" w:type="dxa"/>
            <w:vAlign w:val="bottom"/>
            <w:gridSpan w:val="3"/>
          </w:tcPr>
          <w:p>
            <w:pPr>
              <w:ind w:left="80"/>
              <w:spacing w:after="0"/>
              <w:rPr>
                <w:sz w:val="20"/>
                <w:szCs w:val="20"/>
                <w:color w:val="auto"/>
              </w:rPr>
            </w:pPr>
            <w:r>
              <w:rPr>
                <w:rFonts w:ascii="Arial" w:cs="Arial" w:eastAsia="Arial" w:hAnsi="Arial"/>
                <w:sz w:val="18"/>
                <w:szCs w:val="18"/>
                <w:color w:val="auto"/>
                <w:w w:val="91"/>
              </w:rPr>
              <w:t>Amounts do not include allowance for expected credit losses of $147.</w:t>
            </w: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60" w:type="dxa"/>
            <w:vAlign w:val="bottom"/>
          </w:tcPr>
          <w:p>
            <w:pPr>
              <w:ind w:left="320"/>
              <w:spacing w:after="0"/>
              <w:rPr>
                <w:sz w:val="20"/>
                <w:szCs w:val="20"/>
                <w:color w:val="auto"/>
              </w:rPr>
            </w:pPr>
            <w:r>
              <w:rPr>
                <w:rFonts w:ascii="Arial" w:cs="Arial" w:eastAsia="Arial" w:hAnsi="Arial"/>
                <w:sz w:val="15"/>
                <w:szCs w:val="15"/>
                <w:color w:val="auto"/>
              </w:rPr>
              <w:t>(2)</w:t>
            </w:r>
          </w:p>
        </w:tc>
        <w:tc>
          <w:tcPr>
            <w:tcW w:w="5140" w:type="dxa"/>
            <w:vAlign w:val="bottom"/>
            <w:gridSpan w:val="3"/>
          </w:tcPr>
          <w:p>
            <w:pPr>
              <w:ind w:left="80"/>
              <w:spacing w:after="0"/>
              <w:rPr>
                <w:sz w:val="20"/>
                <w:szCs w:val="20"/>
                <w:color w:val="auto"/>
              </w:rPr>
            </w:pPr>
            <w:r>
              <w:rPr>
                <w:rFonts w:ascii="Arial" w:cs="Arial" w:eastAsia="Arial" w:hAnsi="Arial"/>
                <w:sz w:val="18"/>
                <w:szCs w:val="18"/>
                <w:color w:val="auto"/>
                <w:w w:val="91"/>
              </w:rPr>
              <w:t>Amounts do not include allowance for expected credit losses of $196.</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6800" w:type="dxa"/>
            <w:vAlign w:val="bottom"/>
            <w:gridSpan w:val="6"/>
          </w:tcPr>
          <w:p>
            <w:pPr>
              <w:spacing w:after="0"/>
              <w:rPr>
                <w:sz w:val="20"/>
                <w:szCs w:val="20"/>
                <w:color w:val="auto"/>
              </w:rPr>
            </w:pPr>
            <w:r>
              <w:rPr>
                <w:rFonts w:ascii="Arial" w:cs="Arial" w:eastAsia="Arial" w:hAnsi="Arial"/>
                <w:sz w:val="18"/>
                <w:szCs w:val="18"/>
                <w:color w:val="auto"/>
                <w:w w:val="97"/>
              </w:rPr>
              <w:t>Securities at amortized cost classified by issuer’s credit quality indicators are as follows:</w:t>
            </w:r>
          </w:p>
        </w:tc>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6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4080" w:type="dxa"/>
            <w:vAlign w:val="bottom"/>
            <w:gridSpan w:val="2"/>
            <w:vMerge w:val="restart"/>
          </w:tcPr>
          <w:p>
            <w:pPr>
              <w:jc w:val="center"/>
              <w:ind w:left="93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(3)</w:t>
            </w: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0" w:type="dxa"/>
            <w:vAlign w:val="bottom"/>
            <w:gridSpan w:val="3"/>
          </w:tcPr>
          <w:p>
            <w:pPr>
              <w:ind w:left="80"/>
              <w:spacing w:after="0"/>
              <w:rPr>
                <w:sz w:val="20"/>
                <w:szCs w:val="20"/>
                <w:color w:val="auto"/>
              </w:rPr>
            </w:pPr>
            <w:r>
              <w:rPr>
                <w:rFonts w:ascii="Arial" w:cs="Arial" w:eastAsia="Arial" w:hAnsi="Arial"/>
                <w:sz w:val="18"/>
                <w:szCs w:val="18"/>
                <w:b w:val="1"/>
                <w:bCs w:val="1"/>
                <w:color w:val="auto"/>
              </w:rPr>
              <w:t>September 30,</w:t>
            </w:r>
          </w:p>
        </w:tc>
        <w:tc>
          <w:tcPr>
            <w:tcW w:w="40" w:type="dxa"/>
            <w:vAlign w:val="bottom"/>
          </w:tcPr>
          <w:p>
            <w:pPr>
              <w:spacing w:after="0"/>
              <w:rPr>
                <w:sz w:val="24"/>
                <w:szCs w:val="24"/>
                <w:color w:val="auto"/>
              </w:rPr>
            </w:pPr>
          </w:p>
        </w:tc>
        <w:tc>
          <w:tcPr>
            <w:tcW w:w="1380" w:type="dxa"/>
            <w:vAlign w:val="bottom"/>
            <w:gridSpan w:val="4"/>
          </w:tcPr>
          <w:p>
            <w:pPr>
              <w:ind w:left="100"/>
              <w:spacing w:after="0"/>
              <w:rPr>
                <w:sz w:val="20"/>
                <w:szCs w:val="20"/>
                <w:color w:val="auto"/>
              </w:rPr>
            </w:pPr>
            <w:r>
              <w:rPr>
                <w:rFonts w:ascii="Arial" w:cs="Arial" w:eastAsia="Arial" w:hAnsi="Arial"/>
                <w:sz w:val="18"/>
                <w:szCs w:val="18"/>
                <w:b w:val="1"/>
                <w:bCs w:val="1"/>
                <w:color w:val="auto"/>
              </w:rPr>
              <w:t>December 31,</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6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4080" w:type="dxa"/>
            <w:vAlign w:val="bottom"/>
            <w:gridSpan w:val="2"/>
            <w:vMerge w:val="continue"/>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760" w:type="dxa"/>
            <w:vAlign w:val="bottom"/>
            <w:tcBorders>
              <w:top w:val="single" w:sz="8" w:color="CCEEFF"/>
            </w:tcBorders>
            <w:shd w:val="clear" w:color="auto" w:fill="CCEEFF"/>
          </w:tcPr>
          <w:p>
            <w:pPr>
              <w:jc w:val="center"/>
              <w:ind w:left="1270"/>
              <w:spacing w:after="0"/>
              <w:rPr>
                <w:sz w:val="20"/>
                <w:szCs w:val="20"/>
                <w:color w:val="auto"/>
              </w:rPr>
            </w:pPr>
            <w:r>
              <w:rPr>
                <w:rFonts w:ascii="Arial" w:cs="Arial" w:eastAsia="Arial" w:hAnsi="Arial"/>
                <w:sz w:val="18"/>
                <w:szCs w:val="18"/>
                <w:color w:val="auto"/>
                <w:w w:val="92"/>
              </w:rPr>
              <w:t>1-4</w:t>
            </w:r>
          </w:p>
        </w:tc>
        <w:tc>
          <w:tcPr>
            <w:tcW w:w="3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76,220</w:t>
            </w:r>
          </w:p>
        </w:tc>
        <w:tc>
          <w:tcPr>
            <w:tcW w:w="1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57,667</w:t>
            </w: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760" w:type="dxa"/>
            <w:vAlign w:val="bottom"/>
          </w:tcPr>
          <w:p>
            <w:pPr>
              <w:jc w:val="center"/>
              <w:ind w:left="1270"/>
              <w:spacing w:after="0"/>
              <w:rPr>
                <w:sz w:val="20"/>
                <w:szCs w:val="20"/>
                <w:color w:val="auto"/>
              </w:rPr>
            </w:pPr>
            <w:r>
              <w:rPr>
                <w:rFonts w:ascii="Arial" w:cs="Arial" w:eastAsia="Arial" w:hAnsi="Arial"/>
                <w:sz w:val="18"/>
                <w:szCs w:val="18"/>
                <w:color w:val="auto"/>
                <w:w w:val="92"/>
              </w:rPr>
              <w:t>5-6</w:t>
            </w:r>
          </w:p>
        </w:tc>
        <w:tc>
          <w:tcPr>
            <w:tcW w:w="3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4"/>
          </w:tcPr>
          <w:p>
            <w:pPr>
              <w:jc w:val="right"/>
              <w:ind w:right="120"/>
              <w:spacing w:after="0"/>
              <w:rPr>
                <w:sz w:val="20"/>
                <w:szCs w:val="20"/>
                <w:color w:val="auto"/>
              </w:rPr>
            </w:pPr>
            <w:r>
              <w:rPr>
                <w:rFonts w:ascii="Arial" w:cs="Arial" w:eastAsia="Arial" w:hAnsi="Arial"/>
                <w:sz w:val="18"/>
                <w:szCs w:val="18"/>
                <w:color w:val="auto"/>
              </w:rPr>
              <w:t>1,489</w:t>
            </w:r>
          </w:p>
        </w:tc>
        <w:tc>
          <w:tcPr>
            <w:tcW w:w="1300" w:type="dxa"/>
            <w:vAlign w:val="bottom"/>
            <w:gridSpan w:val="3"/>
          </w:tcPr>
          <w:p>
            <w:pPr>
              <w:jc w:val="right"/>
              <w:spacing w:after="0"/>
              <w:rPr>
                <w:sz w:val="20"/>
                <w:szCs w:val="20"/>
                <w:color w:val="auto"/>
              </w:rPr>
            </w:pPr>
            <w:r>
              <w:rPr>
                <w:rFonts w:ascii="Arial" w:cs="Arial" w:eastAsia="Arial" w:hAnsi="Arial"/>
                <w:sz w:val="18"/>
                <w:szCs w:val="18"/>
                <w:color w:val="auto"/>
              </w:rPr>
              <w:t>11,463</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760" w:type="dxa"/>
            <w:vAlign w:val="bottom"/>
            <w:shd w:val="clear" w:color="auto" w:fill="CCEEFF"/>
          </w:tcPr>
          <w:p>
            <w:pPr>
              <w:jc w:val="center"/>
              <w:ind w:left="1250"/>
              <w:spacing w:after="0"/>
              <w:rPr>
                <w:sz w:val="20"/>
                <w:szCs w:val="20"/>
                <w:color w:val="auto"/>
              </w:rPr>
            </w:pPr>
            <w:r>
              <w:rPr>
                <w:rFonts w:ascii="Arial" w:cs="Arial" w:eastAsia="Arial" w:hAnsi="Arial"/>
                <w:sz w:val="18"/>
                <w:szCs w:val="18"/>
                <w:color w:val="auto"/>
                <w:w w:val="99"/>
              </w:rPr>
              <w:t>7</w:t>
            </w: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760" w:type="dxa"/>
            <w:vAlign w:val="bottom"/>
          </w:tcPr>
          <w:p>
            <w:pPr>
              <w:jc w:val="center"/>
              <w:ind w:left="1250"/>
              <w:spacing w:after="0"/>
              <w:rPr>
                <w:sz w:val="20"/>
                <w:szCs w:val="20"/>
                <w:color w:val="auto"/>
              </w:rPr>
            </w:pPr>
            <w:r>
              <w:rPr>
                <w:rFonts w:ascii="Arial" w:cs="Arial" w:eastAsia="Arial" w:hAnsi="Arial"/>
                <w:sz w:val="18"/>
                <w:szCs w:val="18"/>
                <w:color w:val="auto"/>
                <w:w w:val="99"/>
              </w:rPr>
              <w:t>8</w:t>
            </w:r>
          </w:p>
        </w:tc>
        <w:tc>
          <w:tcPr>
            <w:tcW w:w="3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760" w:type="dxa"/>
            <w:vAlign w:val="bottom"/>
            <w:shd w:val="clear" w:color="auto" w:fill="CCEEFF"/>
          </w:tcPr>
          <w:p>
            <w:pPr>
              <w:jc w:val="center"/>
              <w:ind w:left="1250"/>
              <w:spacing w:after="0"/>
              <w:rPr>
                <w:sz w:val="20"/>
                <w:szCs w:val="20"/>
                <w:color w:val="auto"/>
              </w:rPr>
            </w:pPr>
            <w:r>
              <w:rPr>
                <w:rFonts w:ascii="Arial" w:cs="Arial" w:eastAsia="Arial" w:hAnsi="Arial"/>
                <w:sz w:val="18"/>
                <w:szCs w:val="18"/>
                <w:color w:val="auto"/>
                <w:w w:val="99"/>
              </w:rPr>
              <w:t>9</w:t>
            </w: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3760" w:type="dxa"/>
            <w:vAlign w:val="bottom"/>
          </w:tcPr>
          <w:p>
            <w:pPr>
              <w:jc w:val="center"/>
              <w:ind w:left="1250"/>
              <w:spacing w:after="0"/>
              <w:rPr>
                <w:sz w:val="20"/>
                <w:szCs w:val="20"/>
                <w:color w:val="auto"/>
              </w:rPr>
            </w:pPr>
            <w:r>
              <w:rPr>
                <w:rFonts w:ascii="Arial" w:cs="Arial" w:eastAsia="Arial" w:hAnsi="Arial"/>
                <w:sz w:val="18"/>
                <w:szCs w:val="18"/>
                <w:color w:val="auto"/>
                <w:w w:val="89"/>
              </w:rPr>
              <w:t>10</w:t>
            </w:r>
          </w:p>
        </w:tc>
        <w:tc>
          <w:tcPr>
            <w:tcW w:w="32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4080" w:type="dxa"/>
            <w:vAlign w:val="bottom"/>
            <w:tcBorders>
              <w:top w:val="single" w:sz="8" w:color="CCEEFF"/>
              <w:bottom w:val="single" w:sz="8" w:color="CCEEFF"/>
            </w:tcBorders>
            <w:gridSpan w:val="2"/>
            <w:shd w:val="clear" w:color="auto" w:fill="CCEEFF"/>
          </w:tcPr>
          <w:p>
            <w:pPr>
              <w:jc w:val="center"/>
              <w:ind w:left="930"/>
              <w:spacing w:after="0"/>
              <w:rPr>
                <w:sz w:val="20"/>
                <w:szCs w:val="20"/>
                <w:color w:val="auto"/>
              </w:rPr>
            </w:pPr>
            <w:r>
              <w:rPr>
                <w:rFonts w:ascii="Arial" w:cs="Arial" w:eastAsia="Arial" w:hAnsi="Arial"/>
                <w:sz w:val="18"/>
                <w:szCs w:val="18"/>
                <w:color w:val="auto"/>
                <w:w w:val="94"/>
              </w:rPr>
              <w:t>Total</w:t>
            </w:r>
          </w:p>
        </w:tc>
        <w:tc>
          <w:tcPr>
            <w:tcW w:w="8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77,709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69,130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20" w:right="4580" w:hanging="4964"/>
        <w:spacing w:after="0" w:line="756" w:lineRule="auto"/>
        <w:tabs>
          <w:tab w:leader="none" w:pos="977" w:val="left"/>
        </w:tabs>
        <w:numPr>
          <w:ilvl w:val="0"/>
          <w:numId w:val="18"/>
        </w:numPr>
        <w:rPr>
          <w:rFonts w:ascii="Arial" w:cs="Arial" w:eastAsia="Arial" w:hAnsi="Arial"/>
          <w:sz w:val="26"/>
          <w:szCs w:val="26"/>
          <w:b w:val="1"/>
          <w:bCs w:val="1"/>
          <w:color w:val="auto"/>
          <w:vertAlign w:val="superscript"/>
        </w:rPr>
      </w:pPr>
      <w:r>
        <w:rPr>
          <w:rFonts w:ascii="Arial" w:cs="Arial" w:eastAsia="Arial" w:hAnsi="Arial"/>
          <w:sz w:val="16"/>
          <w:szCs w:val="16"/>
          <w:color w:val="auto"/>
        </w:rPr>
        <w:t>Current ratings as of September 30, 2018 and December 31, 2017, respectively. 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-407670</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900" w:hanging="332"/>
        <w:spacing w:after="0" w:line="604" w:lineRule="auto"/>
        <w:tabs>
          <w:tab w:leader="none" w:pos="340" w:val="left"/>
        </w:tabs>
        <w:numPr>
          <w:ilvl w:val="0"/>
          <w:numId w:val="19"/>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Securities at amortized cost (continued)</w:t>
      </w:r>
    </w:p>
    <w:p>
      <w:pPr>
        <w:ind w:left="340" w:right="180"/>
        <w:spacing w:after="0" w:line="277" w:lineRule="auto"/>
        <w:rPr>
          <w:rFonts w:ascii="Arial" w:cs="Arial" w:eastAsia="Arial" w:hAnsi="Arial"/>
          <w:sz w:val="15"/>
          <w:szCs w:val="15"/>
          <w:b w:val="1"/>
          <w:bCs w:val="1"/>
          <w:color w:val="auto"/>
        </w:rPr>
      </w:pPr>
      <w:r>
        <w:rPr>
          <w:rFonts w:ascii="Arial" w:cs="Arial" w:eastAsia="Arial" w:hAnsi="Arial"/>
          <w:sz w:val="18"/>
          <w:szCs w:val="18"/>
          <w:color w:val="auto"/>
        </w:rPr>
        <w:t>The significant changes in the gross carrying amount of securities at amortized cost during the period that contributed to changes in the allowance for expected credit loss, is provided at the table below:</w:t>
      </w:r>
    </w:p>
    <w:p>
      <w:pPr>
        <w:spacing w:after="0" w:line="96"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67,645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1,485</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69,130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 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(7,363)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(7,359)</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2017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(7,363)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06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(7,359)</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15,938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15,938</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September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76,220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77,709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65,154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12,687</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77,841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 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(7,487)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(11,202)</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(18,689)</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2016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(7,487)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(11,202)</w:t>
            </w:r>
          </w:p>
        </w:tc>
        <w:tc>
          <w:tcPr>
            <w:tcW w:w="106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(18,689)</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9,978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9,978</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67,645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69,130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980" w:hanging="324"/>
        <w:spacing w:after="0" w:line="186" w:lineRule="auto"/>
        <w:tabs>
          <w:tab w:leader="none" w:pos="98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900" w:hanging="332"/>
        <w:spacing w:after="0" w:line="604" w:lineRule="auto"/>
        <w:tabs>
          <w:tab w:leader="none" w:pos="340" w:val="left"/>
        </w:tabs>
        <w:numPr>
          <w:ilvl w:val="0"/>
          <w:numId w:val="21"/>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Securities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allowance for expected credit losses relating to securities at amortized cost is as follow:</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(50)</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2017: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106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44</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September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(422)</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(440)</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(451)</w:t>
            </w:r>
          </w:p>
        </w:tc>
        <w:tc>
          <w:tcPr>
            <w:tcW w:w="106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(485)</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79</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2"/>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980" w:hanging="324"/>
        <w:spacing w:after="0" w:line="186" w:lineRule="auto"/>
        <w:tabs>
          <w:tab w:leader="none" w:pos="980" w:val="left"/>
        </w:tabs>
        <w:numPr>
          <w:ilvl w:val="0"/>
          <w:numId w:val="22"/>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Recognition and derecognition of financial assets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September 30, 2018, 2017 and 2016, the Bank sold loans measured at amortized cost. These sales were made based on compliance with the Bank's strategy to optimize the loan portfolio.</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(loss) on sale of loans” in the consolidated statement of profit or loss.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140" w:type="dxa"/>
            <w:vAlign w:val="bottom"/>
          </w:tcPr>
          <w:p>
            <w:pPr>
              <w:spacing w:after="0"/>
              <w:rPr>
                <w:sz w:val="18"/>
                <w:szCs w:val="18"/>
                <w:color w:val="auto"/>
              </w:rPr>
            </w:pPr>
          </w:p>
        </w:tc>
        <w:tc>
          <w:tcPr>
            <w:tcW w:w="19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Assignments and</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Gains</w:t>
            </w:r>
          </w:p>
        </w:tc>
        <w:tc>
          <w:tcPr>
            <w:tcW w:w="0" w:type="dxa"/>
            <w:vAlign w:val="bottom"/>
          </w:tcPr>
          <w:p>
            <w:pPr>
              <w:spacing w:after="0"/>
              <w:rPr>
                <w:sz w:val="1"/>
                <w:szCs w:val="1"/>
                <w:color w:val="auto"/>
              </w:rPr>
            </w:pPr>
          </w:p>
        </w:tc>
      </w:tr>
      <w:tr>
        <w:trPr>
          <w:trHeight w:val="234"/>
        </w:trPr>
        <w:tc>
          <w:tcPr>
            <w:tcW w:w="7140" w:type="dxa"/>
            <w:vAlign w:val="bottom"/>
          </w:tcPr>
          <w:p>
            <w:pPr>
              <w:spacing w:after="0"/>
              <w:rPr>
                <w:sz w:val="20"/>
                <w:szCs w:val="20"/>
                <w:color w:val="auto"/>
              </w:rPr>
            </w:pPr>
          </w:p>
        </w:tc>
        <w:tc>
          <w:tcPr>
            <w:tcW w:w="19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participations</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9"/>
              </w:rPr>
              <w:t>(losses)</w:t>
            </w:r>
          </w:p>
        </w:tc>
        <w:tc>
          <w:tcPr>
            <w:tcW w:w="0" w:type="dxa"/>
            <w:vAlign w:val="bottom"/>
          </w:tcPr>
          <w:p>
            <w:pPr>
              <w:spacing w:after="0"/>
              <w:rPr>
                <w:sz w:val="1"/>
                <w:szCs w:val="1"/>
                <w:color w:val="auto"/>
              </w:rPr>
            </w:pPr>
          </w:p>
        </w:tc>
      </w:tr>
      <w:tr>
        <w:trPr>
          <w:trHeight w:val="210"/>
        </w:trPr>
        <w:tc>
          <w:tcPr>
            <w:tcW w:w="7140" w:type="dxa"/>
            <w:vAlign w:val="bottom"/>
          </w:tcPr>
          <w:p>
            <w:pPr>
              <w:spacing w:after="0"/>
              <w:rPr>
                <w:sz w:val="18"/>
                <w:szCs w:val="18"/>
                <w:color w:val="auto"/>
              </w:rPr>
            </w:pPr>
          </w:p>
        </w:tc>
        <w:tc>
          <w:tcPr>
            <w:tcW w:w="1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For the year ended September 30, 2018</w:t>
            </w:r>
          </w:p>
        </w:tc>
        <w:tc>
          <w:tcPr>
            <w:tcW w:w="1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71,667</w:t>
            </w:r>
          </w:p>
        </w:tc>
        <w:tc>
          <w:tcPr>
            <w:tcW w:w="1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(625)</w:t>
            </w:r>
          </w:p>
        </w:tc>
        <w:tc>
          <w:tcPr>
            <w:tcW w:w="0" w:type="dxa"/>
            <w:vAlign w:val="bottom"/>
          </w:tcPr>
          <w:p>
            <w:pPr>
              <w:spacing w:after="0"/>
              <w:rPr>
                <w:sz w:val="1"/>
                <w:szCs w:val="1"/>
                <w:color w:val="auto"/>
              </w:rPr>
            </w:pPr>
          </w:p>
        </w:tc>
      </w:tr>
      <w:tr>
        <w:trPr>
          <w:trHeight w:val="216"/>
        </w:trPr>
        <w:tc>
          <w:tcPr>
            <w:tcW w:w="7140" w:type="dxa"/>
            <w:vAlign w:val="bottom"/>
          </w:tcPr>
          <w:p>
            <w:pPr>
              <w:ind w:left="20"/>
              <w:spacing w:after="0"/>
              <w:rPr>
                <w:sz w:val="20"/>
                <w:szCs w:val="20"/>
                <w:color w:val="auto"/>
              </w:rPr>
            </w:pPr>
            <w:r>
              <w:rPr>
                <w:rFonts w:ascii="Arial" w:cs="Arial" w:eastAsia="Arial" w:hAnsi="Arial"/>
                <w:sz w:val="18"/>
                <w:szCs w:val="18"/>
                <w:color w:val="auto"/>
              </w:rPr>
              <w:t>For the year ended September 30, 2017</w:t>
            </w:r>
          </w:p>
        </w:tc>
        <w:tc>
          <w:tcPr>
            <w:tcW w:w="1960" w:type="dxa"/>
            <w:vAlign w:val="bottom"/>
            <w:gridSpan w:val="2"/>
          </w:tcPr>
          <w:p>
            <w:pPr>
              <w:jc w:val="right"/>
              <w:ind w:right="220"/>
              <w:spacing w:after="0"/>
              <w:rPr>
                <w:sz w:val="20"/>
                <w:szCs w:val="20"/>
                <w:color w:val="auto"/>
              </w:rPr>
            </w:pPr>
            <w:r>
              <w:rPr>
                <w:rFonts w:ascii="Arial" w:cs="Arial" w:eastAsia="Arial" w:hAnsi="Arial"/>
                <w:sz w:val="18"/>
                <w:szCs w:val="18"/>
                <w:color w:val="auto"/>
              </w:rPr>
              <w:t>72,400</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For the year ended September 30, 2016</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146,975</w:t>
            </w:r>
          </w:p>
        </w:tc>
        <w:tc>
          <w:tcPr>
            <w:tcW w:w="22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490</w:t>
            </w:r>
          </w:p>
        </w:tc>
        <w:tc>
          <w:tcPr>
            <w:tcW w:w="0" w:type="dxa"/>
            <w:vAlign w:val="bottom"/>
          </w:tcPr>
          <w:p>
            <w:pPr>
              <w:spacing w:after="0"/>
              <w:rPr>
                <w:sz w:val="1"/>
                <w:szCs w:val="1"/>
                <w:color w:val="auto"/>
              </w:rPr>
            </w:pPr>
          </w:p>
        </w:tc>
      </w:tr>
      <w:tr>
        <w:trPr>
          <w:trHeight w:val="432"/>
        </w:trPr>
        <w:tc>
          <w:tcPr>
            <w:tcW w:w="7140" w:type="dxa"/>
            <w:vAlign w:val="bottom"/>
          </w:tcPr>
          <w:p>
            <w:pPr>
              <w:spacing w:after="0"/>
              <w:rPr>
                <w:sz w:val="20"/>
                <w:szCs w:val="20"/>
                <w:color w:val="auto"/>
              </w:rPr>
            </w:pPr>
            <w:r>
              <w:rPr>
                <w:rFonts w:ascii="Arial" w:cs="Arial" w:eastAsia="Arial" w:hAnsi="Arial"/>
                <w:sz w:val="18"/>
                <w:szCs w:val="18"/>
                <w:b w:val="1"/>
                <w:bCs w:val="1"/>
                <w:color w:val="auto"/>
              </w:rPr>
              <w:t>Loans – at amortized cost</w:t>
            </w:r>
          </w:p>
        </w:tc>
        <w:tc>
          <w:tcPr>
            <w:tcW w:w="1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7140" w:type="dxa"/>
            <w:vAlign w:val="bottom"/>
          </w:tcPr>
          <w:p>
            <w:pPr>
              <w:spacing w:after="0"/>
              <w:rPr>
                <w:sz w:val="20"/>
                <w:szCs w:val="20"/>
                <w:color w:val="auto"/>
              </w:rPr>
            </w:pPr>
            <w:r>
              <w:rPr>
                <w:rFonts w:ascii="Arial" w:cs="Arial" w:eastAsia="Arial" w:hAnsi="Arial"/>
                <w:sz w:val="18"/>
                <w:szCs w:val="18"/>
                <w:color w:val="auto"/>
              </w:rPr>
              <w:t>The following table set forth details of the Bank’s loan portfolio:</w:t>
            </w:r>
          </w:p>
        </w:tc>
        <w:tc>
          <w:tcPr>
            <w:tcW w:w="1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7140" w:type="dxa"/>
            <w:vAlign w:val="bottom"/>
          </w:tcPr>
          <w:p>
            <w:pPr>
              <w:spacing w:after="0"/>
              <w:rPr>
                <w:sz w:val="24"/>
                <w:szCs w:val="24"/>
                <w:color w:val="auto"/>
              </w:rPr>
            </w:pPr>
          </w:p>
        </w:tc>
        <w:tc>
          <w:tcPr>
            <w:tcW w:w="19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71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Corporations:</w:t>
            </w:r>
          </w:p>
        </w:tc>
        <w:tc>
          <w:tcPr>
            <w:tcW w:w="1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140" w:type="dxa"/>
            <w:vAlign w:val="bottom"/>
          </w:tcPr>
          <w:p>
            <w:pPr>
              <w:ind w:left="160"/>
              <w:spacing w:after="0"/>
              <w:rPr>
                <w:sz w:val="20"/>
                <w:szCs w:val="20"/>
                <w:color w:val="auto"/>
              </w:rPr>
            </w:pPr>
            <w:r>
              <w:rPr>
                <w:rFonts w:ascii="Arial" w:cs="Arial" w:eastAsia="Arial" w:hAnsi="Arial"/>
                <w:sz w:val="18"/>
                <w:szCs w:val="18"/>
                <w:color w:val="auto"/>
              </w:rPr>
              <w:t>Private</w:t>
            </w:r>
          </w:p>
        </w:tc>
        <w:tc>
          <w:tcPr>
            <w:tcW w:w="1740" w:type="dxa"/>
            <w:vAlign w:val="bottom"/>
          </w:tcPr>
          <w:p>
            <w:pPr>
              <w:jc w:val="right"/>
              <w:spacing w:after="0"/>
              <w:rPr>
                <w:sz w:val="20"/>
                <w:szCs w:val="20"/>
                <w:color w:val="auto"/>
              </w:rPr>
            </w:pPr>
            <w:r>
              <w:rPr>
                <w:rFonts w:ascii="Arial" w:cs="Arial" w:eastAsia="Arial" w:hAnsi="Arial"/>
                <w:sz w:val="18"/>
                <w:szCs w:val="18"/>
                <w:color w:val="auto"/>
              </w:rPr>
              <w:t>1,769,868</w:t>
            </w:r>
          </w:p>
        </w:tc>
        <w:tc>
          <w:tcPr>
            <w:tcW w:w="220" w:type="dxa"/>
            <w:vAlign w:val="bottom"/>
          </w:tcPr>
          <w:p>
            <w:pPr>
              <w:spacing w:after="0"/>
              <w:rPr>
                <w:sz w:val="18"/>
                <w:szCs w:val="18"/>
                <w:color w:val="auto"/>
              </w:rPr>
            </w:pPr>
          </w:p>
        </w:tc>
        <w:tc>
          <w:tcPr>
            <w:tcW w:w="1740" w:type="dxa"/>
            <w:vAlign w:val="bottom"/>
          </w:tcPr>
          <w:p>
            <w:pPr>
              <w:jc w:val="right"/>
              <w:spacing w:after="0"/>
              <w:rPr>
                <w:sz w:val="20"/>
                <w:szCs w:val="20"/>
                <w:color w:val="auto"/>
              </w:rPr>
            </w:pPr>
            <w:r>
              <w:rPr>
                <w:rFonts w:ascii="Arial" w:cs="Arial" w:eastAsia="Arial" w:hAnsi="Arial"/>
                <w:sz w:val="18"/>
                <w:szCs w:val="18"/>
                <w:color w:val="auto"/>
              </w:rPr>
              <w:t>1,882,846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840,632</w:t>
            </w:r>
          </w:p>
        </w:tc>
        <w:tc>
          <w:tcPr>
            <w:tcW w:w="22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723,267</w:t>
            </w:r>
          </w:p>
        </w:tc>
        <w:tc>
          <w:tcPr>
            <w:tcW w:w="0" w:type="dxa"/>
            <w:vAlign w:val="bottom"/>
          </w:tcPr>
          <w:p>
            <w:pPr>
              <w:spacing w:after="0"/>
              <w:rPr>
                <w:sz w:val="1"/>
                <w:szCs w:val="1"/>
                <w:color w:val="auto"/>
              </w:rPr>
            </w:pPr>
          </w:p>
        </w:tc>
      </w:tr>
      <w:tr>
        <w:trPr>
          <w:trHeight w:val="216"/>
        </w:trPr>
        <w:tc>
          <w:tcPr>
            <w:tcW w:w="714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1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2,452,756</w:t>
            </w:r>
          </w:p>
        </w:tc>
        <w:tc>
          <w:tcPr>
            <w:tcW w:w="22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2,083,795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14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1740" w:type="dxa"/>
            <w:vAlign w:val="bottom"/>
          </w:tcPr>
          <w:p>
            <w:pPr>
              <w:jc w:val="right"/>
              <w:spacing w:after="0"/>
              <w:rPr>
                <w:sz w:val="20"/>
                <w:szCs w:val="20"/>
                <w:color w:val="auto"/>
              </w:rPr>
            </w:pPr>
            <w:r>
              <w:rPr>
                <w:rFonts w:ascii="Arial" w:cs="Arial" w:eastAsia="Arial" w:hAnsi="Arial"/>
                <w:sz w:val="18"/>
                <w:szCs w:val="18"/>
                <w:color w:val="auto"/>
              </w:rPr>
              <w:t>537,270</w:t>
            </w:r>
          </w:p>
        </w:tc>
        <w:tc>
          <w:tcPr>
            <w:tcW w:w="220" w:type="dxa"/>
            <w:vAlign w:val="bottom"/>
          </w:tcPr>
          <w:p>
            <w:pPr>
              <w:spacing w:after="0"/>
              <w:rPr>
                <w:sz w:val="18"/>
                <w:szCs w:val="18"/>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573,649</w:t>
            </w: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140" w:type="dxa"/>
            <w:vAlign w:val="bottom"/>
          </w:tcPr>
          <w:p>
            <w:pPr>
              <w:ind w:left="160"/>
              <w:spacing w:after="0"/>
              <w:rPr>
                <w:sz w:val="20"/>
                <w:szCs w:val="20"/>
                <w:color w:val="auto"/>
              </w:rPr>
            </w:pPr>
            <w:r>
              <w:rPr>
                <w:rFonts w:ascii="Arial" w:cs="Arial" w:eastAsia="Arial" w:hAnsi="Arial"/>
                <w:sz w:val="18"/>
                <w:szCs w:val="18"/>
                <w:color w:val="auto"/>
              </w:rPr>
              <w:t>Private</w:t>
            </w:r>
          </w:p>
        </w:tc>
        <w:tc>
          <w:tcPr>
            <w:tcW w:w="1740" w:type="dxa"/>
            <w:vAlign w:val="bottom"/>
          </w:tcPr>
          <w:p>
            <w:pPr>
              <w:jc w:val="right"/>
              <w:spacing w:after="0"/>
              <w:rPr>
                <w:sz w:val="20"/>
                <w:szCs w:val="20"/>
                <w:color w:val="auto"/>
              </w:rPr>
            </w:pPr>
            <w:r>
              <w:rPr>
                <w:rFonts w:ascii="Arial" w:cs="Arial" w:eastAsia="Arial" w:hAnsi="Arial"/>
                <w:sz w:val="18"/>
                <w:szCs w:val="18"/>
                <w:color w:val="auto"/>
              </w:rPr>
              <w:t>123,992</w:t>
            </w:r>
          </w:p>
        </w:tc>
        <w:tc>
          <w:tcPr>
            <w:tcW w:w="220" w:type="dxa"/>
            <w:vAlign w:val="bottom"/>
          </w:tcPr>
          <w:p>
            <w:pPr>
              <w:spacing w:after="0"/>
              <w:rPr>
                <w:sz w:val="19"/>
                <w:szCs w:val="19"/>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242,101</w:t>
            </w:r>
          </w:p>
        </w:tc>
        <w:tc>
          <w:tcPr>
            <w:tcW w:w="0" w:type="dxa"/>
            <w:vAlign w:val="bottom"/>
          </w:tcPr>
          <w:p>
            <w:pPr>
              <w:spacing w:after="0"/>
              <w:rPr>
                <w:sz w:val="1"/>
                <w:szCs w:val="1"/>
                <w:color w:val="auto"/>
              </w:rPr>
            </w:pPr>
          </w:p>
        </w:tc>
      </w:tr>
      <w:tr>
        <w:trPr>
          <w:trHeight w:val="223"/>
        </w:trPr>
        <w:tc>
          <w:tcPr>
            <w:tcW w:w="7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140" w:type="dxa"/>
            <w:vAlign w:val="bottom"/>
            <w:vMerge w:val="restart"/>
          </w:tcPr>
          <w:p>
            <w:pPr>
              <w:spacing w:after="0"/>
              <w:rPr>
                <w:sz w:val="20"/>
                <w:szCs w:val="20"/>
                <w:color w:val="auto"/>
              </w:rPr>
            </w:pPr>
            <w:r>
              <w:rPr>
                <w:rFonts w:ascii="Arial" w:cs="Arial" w:eastAsia="Arial" w:hAnsi="Arial"/>
                <w:sz w:val="18"/>
                <w:szCs w:val="18"/>
                <w:color w:val="auto"/>
              </w:rPr>
              <w:t>The composition of the gross loan portfolio by industry is as follows:</w:t>
            </w:r>
          </w:p>
        </w:tc>
        <w:tc>
          <w:tcPr>
            <w:tcW w:w="1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140" w:type="dxa"/>
            <w:vAlign w:val="bottom"/>
            <w:vMerge w:val="continue"/>
          </w:tcPr>
          <w:p>
            <w:pPr>
              <w:spacing w:after="0"/>
              <w:rPr>
                <w:sz w:val="24"/>
                <w:szCs w:val="24"/>
                <w:color w:val="auto"/>
              </w:rPr>
            </w:pPr>
          </w:p>
        </w:tc>
        <w:tc>
          <w:tcPr>
            <w:tcW w:w="1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7140" w:type="dxa"/>
            <w:vAlign w:val="bottom"/>
          </w:tcPr>
          <w:p>
            <w:pPr>
              <w:spacing w:after="0"/>
              <w:rPr>
                <w:sz w:val="24"/>
                <w:szCs w:val="24"/>
                <w:color w:val="auto"/>
              </w:rPr>
            </w:pPr>
          </w:p>
        </w:tc>
        <w:tc>
          <w:tcPr>
            <w:tcW w:w="19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71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2,990,026</w:t>
            </w:r>
          </w:p>
        </w:tc>
        <w:tc>
          <w:tcPr>
            <w:tcW w:w="22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2,657,444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140" w:type="dxa"/>
            <w:vAlign w:val="bottom"/>
          </w:tcPr>
          <w:p>
            <w:pPr>
              <w:spacing w:after="0"/>
              <w:rPr>
                <w:sz w:val="20"/>
                <w:szCs w:val="20"/>
                <w:color w:val="auto"/>
              </w:rPr>
            </w:pPr>
            <w:r>
              <w:rPr>
                <w:rFonts w:ascii="Arial" w:cs="Arial" w:eastAsia="Arial" w:hAnsi="Arial"/>
                <w:sz w:val="18"/>
                <w:szCs w:val="18"/>
                <w:color w:val="auto"/>
              </w:rPr>
              <w:t>Industrial</w:t>
            </w:r>
          </w:p>
        </w:tc>
        <w:tc>
          <w:tcPr>
            <w:tcW w:w="1740" w:type="dxa"/>
            <w:vAlign w:val="bottom"/>
          </w:tcPr>
          <w:p>
            <w:pPr>
              <w:jc w:val="right"/>
              <w:spacing w:after="0"/>
              <w:rPr>
                <w:sz w:val="20"/>
                <w:szCs w:val="20"/>
                <w:color w:val="auto"/>
              </w:rPr>
            </w:pPr>
            <w:r>
              <w:rPr>
                <w:rFonts w:ascii="Arial" w:cs="Arial" w:eastAsia="Arial" w:hAnsi="Arial"/>
                <w:sz w:val="18"/>
                <w:szCs w:val="18"/>
                <w:color w:val="auto"/>
              </w:rPr>
              <w:t>838,352</w:t>
            </w:r>
          </w:p>
        </w:tc>
        <w:tc>
          <w:tcPr>
            <w:tcW w:w="220" w:type="dxa"/>
            <w:vAlign w:val="bottom"/>
          </w:tcPr>
          <w:p>
            <w:pPr>
              <w:spacing w:after="0"/>
              <w:rPr>
                <w:sz w:val="18"/>
                <w:szCs w:val="18"/>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772,238</w:t>
            </w: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749,270</w:t>
            </w:r>
          </w:p>
        </w:tc>
        <w:tc>
          <w:tcPr>
            <w:tcW w:w="22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735,413</w:t>
            </w:r>
          </w:p>
        </w:tc>
        <w:tc>
          <w:tcPr>
            <w:tcW w:w="0" w:type="dxa"/>
            <w:vAlign w:val="bottom"/>
          </w:tcPr>
          <w:p>
            <w:pPr>
              <w:spacing w:after="0"/>
              <w:rPr>
                <w:sz w:val="1"/>
                <w:szCs w:val="1"/>
                <w:color w:val="auto"/>
              </w:rPr>
            </w:pPr>
          </w:p>
        </w:tc>
      </w:tr>
      <w:tr>
        <w:trPr>
          <w:trHeight w:val="216"/>
        </w:trPr>
        <w:tc>
          <w:tcPr>
            <w:tcW w:w="7140" w:type="dxa"/>
            <w:vAlign w:val="bottom"/>
          </w:tcPr>
          <w:p>
            <w:pPr>
              <w:spacing w:after="0"/>
              <w:rPr>
                <w:sz w:val="20"/>
                <w:szCs w:val="20"/>
                <w:color w:val="auto"/>
              </w:rPr>
            </w:pPr>
            <w:r>
              <w:rPr>
                <w:rFonts w:ascii="Arial" w:cs="Arial" w:eastAsia="Arial" w:hAnsi="Arial"/>
                <w:sz w:val="18"/>
                <w:szCs w:val="18"/>
                <w:color w:val="auto"/>
              </w:rPr>
              <w:t>Agricultural</w:t>
            </w:r>
          </w:p>
        </w:tc>
        <w:tc>
          <w:tcPr>
            <w:tcW w:w="1740" w:type="dxa"/>
            <w:vAlign w:val="bottom"/>
          </w:tcPr>
          <w:p>
            <w:pPr>
              <w:jc w:val="right"/>
              <w:spacing w:after="0"/>
              <w:rPr>
                <w:sz w:val="20"/>
                <w:szCs w:val="20"/>
                <w:color w:val="auto"/>
              </w:rPr>
            </w:pPr>
            <w:r>
              <w:rPr>
                <w:rFonts w:ascii="Arial" w:cs="Arial" w:eastAsia="Arial" w:hAnsi="Arial"/>
                <w:sz w:val="18"/>
                <w:szCs w:val="18"/>
                <w:color w:val="auto"/>
              </w:rPr>
              <w:t>512,735</w:t>
            </w:r>
          </w:p>
        </w:tc>
        <w:tc>
          <w:tcPr>
            <w:tcW w:w="220" w:type="dxa"/>
            <w:vAlign w:val="bottom"/>
          </w:tcPr>
          <w:p>
            <w:pPr>
              <w:spacing w:after="0"/>
              <w:rPr>
                <w:sz w:val="18"/>
                <w:szCs w:val="18"/>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501,241</w:t>
            </w:r>
          </w:p>
        </w:tc>
        <w:tc>
          <w:tcPr>
            <w:tcW w:w="0" w:type="dxa"/>
            <w:vAlign w:val="bottom"/>
          </w:tcPr>
          <w:p>
            <w:pPr>
              <w:spacing w:after="0"/>
              <w:rPr>
                <w:sz w:val="1"/>
                <w:szCs w:val="1"/>
                <w:color w:val="auto"/>
              </w:rPr>
            </w:pPr>
          </w:p>
        </w:tc>
      </w:tr>
      <w:tr>
        <w:trPr>
          <w:trHeight w:val="216"/>
        </w:trPr>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323,375</w:t>
            </w:r>
          </w:p>
        </w:tc>
        <w:tc>
          <w:tcPr>
            <w:tcW w:w="220" w:type="dxa"/>
            <w:vAlign w:val="bottom"/>
            <w:shd w:val="clear" w:color="auto" w:fill="CCEEFF"/>
          </w:tcPr>
          <w:p>
            <w:pPr>
              <w:spacing w:after="0"/>
              <w:rPr>
                <w:sz w:val="18"/>
                <w:szCs w:val="18"/>
                <w:color w:val="auto"/>
              </w:rPr>
            </w:pP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430,717</w:t>
            </w:r>
          </w:p>
        </w:tc>
        <w:tc>
          <w:tcPr>
            <w:tcW w:w="0" w:type="dxa"/>
            <w:vAlign w:val="bottom"/>
          </w:tcPr>
          <w:p>
            <w:pPr>
              <w:spacing w:after="0"/>
              <w:rPr>
                <w:sz w:val="1"/>
                <w:szCs w:val="1"/>
                <w:color w:val="auto"/>
              </w:rPr>
            </w:pPr>
          </w:p>
        </w:tc>
      </w:tr>
      <w:tr>
        <w:trPr>
          <w:trHeight w:val="216"/>
        </w:trPr>
        <w:tc>
          <w:tcPr>
            <w:tcW w:w="7140" w:type="dxa"/>
            <w:vAlign w:val="bottom"/>
          </w:tcPr>
          <w:p>
            <w:pPr>
              <w:spacing w:after="0"/>
              <w:rPr>
                <w:sz w:val="20"/>
                <w:szCs w:val="20"/>
                <w:color w:val="auto"/>
              </w:rPr>
            </w:pPr>
            <w:r>
              <w:rPr>
                <w:rFonts w:ascii="Arial" w:cs="Arial" w:eastAsia="Arial" w:hAnsi="Arial"/>
                <w:sz w:val="18"/>
                <w:szCs w:val="18"/>
                <w:color w:val="auto"/>
              </w:rPr>
              <w:t>Mining</w:t>
            </w:r>
          </w:p>
        </w:tc>
        <w:tc>
          <w:tcPr>
            <w:tcW w:w="1960" w:type="dxa"/>
            <w:vAlign w:val="bottom"/>
            <w:gridSpan w:val="2"/>
          </w:tcPr>
          <w:p>
            <w:pPr>
              <w:jc w:val="right"/>
              <w:ind w:right="220"/>
              <w:spacing w:after="0"/>
              <w:rPr>
                <w:sz w:val="20"/>
                <w:szCs w:val="20"/>
                <w:color w:val="auto"/>
              </w:rPr>
            </w:pPr>
            <w:r>
              <w:rPr>
                <w:rFonts w:ascii="Arial" w:cs="Arial" w:eastAsia="Arial" w:hAnsi="Arial"/>
                <w:sz w:val="18"/>
                <w:szCs w:val="18"/>
                <w:color w:val="auto"/>
              </w:rPr>
              <w:t>90,600</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231,687</w:t>
            </w:r>
          </w:p>
        </w:tc>
        <w:tc>
          <w:tcPr>
            <w:tcW w:w="0" w:type="dxa"/>
            <w:vAlign w:val="bottom"/>
          </w:tcPr>
          <w:p>
            <w:pPr>
              <w:spacing w:after="0"/>
              <w:rPr>
                <w:sz w:val="1"/>
                <w:szCs w:val="1"/>
                <w:color w:val="auto"/>
              </w:rPr>
            </w:pPr>
          </w:p>
        </w:tc>
      </w:tr>
      <w:tr>
        <w:trPr>
          <w:trHeight w:val="230"/>
        </w:trPr>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220,160</w:t>
            </w:r>
          </w:p>
        </w:tc>
        <w:tc>
          <w:tcPr>
            <w:tcW w:w="220" w:type="dxa"/>
            <w:vAlign w:val="bottom"/>
            <w:shd w:val="clear" w:color="auto" w:fill="CCEEFF"/>
          </w:tcPr>
          <w:p>
            <w:pPr>
              <w:spacing w:after="0"/>
              <w:rPr>
                <w:sz w:val="19"/>
                <w:szCs w:val="19"/>
                <w:color w:val="auto"/>
              </w:rPr>
            </w:pP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176,918</w:t>
            </w:r>
          </w:p>
        </w:tc>
        <w:tc>
          <w:tcPr>
            <w:tcW w:w="0" w:type="dxa"/>
            <w:vAlign w:val="bottom"/>
          </w:tcPr>
          <w:p>
            <w:pPr>
              <w:spacing w:after="0"/>
              <w:rPr>
                <w:sz w:val="1"/>
                <w:szCs w:val="1"/>
                <w:color w:val="auto"/>
              </w:rPr>
            </w:pPr>
          </w:p>
        </w:tc>
      </w:tr>
      <w:tr>
        <w:trPr>
          <w:trHeight w:val="223"/>
        </w:trPr>
        <w:tc>
          <w:tcPr>
            <w:tcW w:w="7140" w:type="dxa"/>
            <w:vAlign w:val="bottom"/>
          </w:tcPr>
          <w:p>
            <w:pPr>
              <w:spacing w:after="0"/>
              <w:rPr>
                <w:sz w:val="20"/>
                <w:szCs w:val="20"/>
                <w:color w:val="auto"/>
              </w:rPr>
            </w:pPr>
            <w:r>
              <w:rPr>
                <w:rFonts w:ascii="Arial" w:cs="Arial" w:eastAsia="Arial" w:hAnsi="Arial"/>
                <w:sz w:val="18"/>
                <w:szCs w:val="18"/>
                <w:color w:val="auto"/>
              </w:rPr>
              <w:t>Total</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5,724,518</w:t>
            </w:r>
          </w:p>
        </w:tc>
        <w:tc>
          <w:tcPr>
            <w:tcW w:w="22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1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620"/>
        <w:spacing w:after="0" w:line="277" w:lineRule="auto"/>
        <w:rPr>
          <w:sz w:val="20"/>
          <w:szCs w:val="20"/>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24"/>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6"/>
          <w:szCs w:val="16"/>
          <w:color w:val="auto"/>
        </w:rPr>
        <w:t>As of September 30, 2018, and December 31, 2017, the unearned discount interest and deferred fees amounted to $7,357 and $4,985, respectively.</w:t>
      </w:r>
    </w:p>
    <w:p>
      <w:pPr>
        <w:spacing w:after="0" w:line="24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classified by borrower’s credit quality indicators are as follows:</w:t>
      </w:r>
    </w:p>
    <w:p>
      <w:pPr>
        <w:spacing w:after="0" w:line="221" w:lineRule="exact"/>
        <w:rPr>
          <w:sz w:val="20"/>
          <w:szCs w:val="20"/>
          <w:color w:val="auto"/>
        </w:rPr>
      </w:pPr>
    </w:p>
    <w:p>
      <w:pPr>
        <w:jc w:val="center"/>
        <w:ind w:right="-339"/>
        <w:spacing w:after="0"/>
        <w:rPr>
          <w:sz w:val="20"/>
          <w:szCs w:val="20"/>
          <w:color w:val="auto"/>
        </w:rPr>
      </w:pPr>
      <w:r>
        <w:rPr>
          <w:rFonts w:ascii="Arial" w:cs="Arial" w:eastAsia="Arial" w:hAnsi="Arial"/>
          <w:sz w:val="18"/>
          <w:szCs w:val="18"/>
          <w:b w:val="1"/>
          <w:bCs w:val="1"/>
          <w:color w:val="auto"/>
        </w:rPr>
        <w:t>September 30, 2018</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0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600" w:type="dxa"/>
            <w:vAlign w:val="bottom"/>
            <w:tcBorders>
              <w:top w:val="single" w:sz="8" w:color="auto"/>
            </w:tcBorders>
            <w:gridSpan w:val="4"/>
          </w:tcPr>
          <w:p>
            <w:pPr>
              <w:ind w:left="34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38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5"/>
              </w:rPr>
              <w:t>Middle-market</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200" w:type="dxa"/>
            <w:vAlign w:val="bottom"/>
            <w:gridSpan w:val="2"/>
            <w:vMerge w:val="restart"/>
          </w:tcPr>
          <w:p>
            <w:pPr>
              <w:ind w:left="118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360" w:type="dxa"/>
            <w:vAlign w:val="bottom"/>
            <w:tcBorders>
              <w:bottom w:val="single" w:sz="8" w:color="auto"/>
            </w:tcBorders>
            <w:gridSpan w:val="3"/>
          </w:tcPr>
          <w:p>
            <w:pPr>
              <w:jc w:val="right"/>
              <w:ind w:right="57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380" w:type="dxa"/>
            <w:vAlign w:val="bottom"/>
            <w:tcBorders>
              <w:bottom w:val="single" w:sz="8" w:color="auto"/>
            </w:tcBorders>
            <w:gridSpan w:val="3"/>
          </w:tcPr>
          <w:p>
            <w:pPr>
              <w:jc w:val="right"/>
              <w:ind w:right="670"/>
              <w:spacing w:after="0"/>
              <w:rPr>
                <w:sz w:val="20"/>
                <w:szCs w:val="20"/>
                <w:color w:val="auto"/>
              </w:rPr>
            </w:pPr>
            <w:r>
              <w:rPr>
                <w:rFonts w:ascii="Arial" w:cs="Arial" w:eastAsia="Arial" w:hAnsi="Arial"/>
                <w:sz w:val="18"/>
                <w:szCs w:val="18"/>
                <w:b w:val="1"/>
                <w:bCs w:val="1"/>
                <w:color w:val="auto"/>
              </w:rPr>
              <w:t>institutions</w:t>
            </w:r>
          </w:p>
        </w:tc>
        <w:tc>
          <w:tcPr>
            <w:tcW w:w="22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companies</w:t>
            </w: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200" w:type="dxa"/>
            <w:vAlign w:val="bottom"/>
            <w:gridSpan w:val="2"/>
            <w:vMerge w:val="continue"/>
          </w:tcPr>
          <w:p>
            <w:pPr>
              <w:spacing w:after="0"/>
              <w:rPr>
                <w:sz w:val="20"/>
                <w:szCs w:val="20"/>
                <w:color w:val="auto"/>
              </w:rPr>
            </w:pPr>
          </w:p>
        </w:tc>
        <w:tc>
          <w:tcPr>
            <w:tcW w:w="128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State-owned</w:t>
            </w: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State-owned</w:t>
            </w: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Private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1,321,449</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613,743</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2,122,932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332,395</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56,351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4,446,870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364,443</w:t>
            </w:r>
          </w:p>
        </w:tc>
        <w:tc>
          <w:tcPr>
            <w:tcW w:w="1080" w:type="dxa"/>
            <w:vAlign w:val="bottom"/>
          </w:tcPr>
          <w:p>
            <w:pPr>
              <w:jc w:val="right"/>
              <w:spacing w:after="0"/>
              <w:rPr>
                <w:sz w:val="20"/>
                <w:szCs w:val="20"/>
                <w:color w:val="auto"/>
              </w:rPr>
            </w:pPr>
            <w:r>
              <w:rPr>
                <w:rFonts w:ascii="Arial" w:cs="Arial" w:eastAsia="Arial" w:hAnsi="Arial"/>
                <w:sz w:val="18"/>
                <w:szCs w:val="18"/>
                <w:color w:val="auto"/>
              </w:rPr>
              <w:t>226,889</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329,824</w:t>
            </w:r>
          </w:p>
        </w:tc>
        <w:tc>
          <w:tcPr>
            <w:tcW w:w="1080" w:type="dxa"/>
            <w:vAlign w:val="bottom"/>
          </w:tcPr>
          <w:p>
            <w:pPr>
              <w:jc w:val="right"/>
              <w:spacing w:after="0"/>
              <w:rPr>
                <w:sz w:val="20"/>
                <w:szCs w:val="20"/>
                <w:color w:val="auto"/>
              </w:rPr>
            </w:pPr>
            <w:r>
              <w:rPr>
                <w:rFonts w:ascii="Arial" w:cs="Arial" w:eastAsia="Arial" w:hAnsi="Arial"/>
                <w:sz w:val="18"/>
                <w:szCs w:val="18"/>
                <w:color w:val="auto"/>
              </w:rPr>
              <w:t>204,875</w:t>
            </w:r>
          </w:p>
        </w:tc>
        <w:tc>
          <w:tcPr>
            <w:tcW w:w="22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32,641</w:t>
            </w:r>
          </w:p>
        </w:tc>
        <w:tc>
          <w:tcPr>
            <w:tcW w:w="1080" w:type="dxa"/>
            <w:vAlign w:val="bottom"/>
          </w:tcPr>
          <w:p>
            <w:pPr>
              <w:jc w:val="right"/>
              <w:spacing w:after="0"/>
              <w:rPr>
                <w:sz w:val="20"/>
                <w:szCs w:val="20"/>
                <w:color w:val="auto"/>
              </w:rPr>
            </w:pPr>
            <w:r>
              <w:rPr>
                <w:rFonts w:ascii="Arial" w:cs="Arial" w:eastAsia="Arial" w:hAnsi="Arial"/>
                <w:sz w:val="18"/>
                <w:szCs w:val="18"/>
                <w:color w:val="auto"/>
              </w:rPr>
              <w:t>1,158,672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83,976</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83,976</w:t>
            </w:r>
          </w:p>
        </w:tc>
        <w:tc>
          <w:tcPr>
            <w:tcW w:w="0" w:type="dxa"/>
            <w:vAlign w:val="bottom"/>
          </w:tcPr>
          <w:p>
            <w:pPr>
              <w:spacing w:after="0"/>
              <w:rPr>
                <w:sz w:val="1"/>
                <w:szCs w:val="1"/>
                <w:color w:val="auto"/>
              </w:rPr>
            </w:pPr>
          </w:p>
        </w:tc>
      </w:tr>
      <w:tr>
        <w:trPr>
          <w:trHeight w:val="230"/>
        </w:trPr>
        <w:tc>
          <w:tcPr>
            <w:tcW w:w="30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23"/>
        </w:trPr>
        <w:tc>
          <w:tcPr>
            <w:tcW w:w="3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1,769,868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840,632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2,452,756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537,270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123,992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ind w:right="-33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0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600" w:type="dxa"/>
            <w:vAlign w:val="bottom"/>
            <w:tcBorders>
              <w:top w:val="single" w:sz="8" w:color="auto"/>
            </w:tcBorders>
            <w:gridSpan w:val="4"/>
          </w:tcPr>
          <w:p>
            <w:pPr>
              <w:ind w:left="34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38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5"/>
              </w:rPr>
              <w:t>Middle-market</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200" w:type="dxa"/>
            <w:vAlign w:val="bottom"/>
            <w:gridSpan w:val="2"/>
            <w:vMerge w:val="restart"/>
          </w:tcPr>
          <w:p>
            <w:pPr>
              <w:ind w:left="118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360" w:type="dxa"/>
            <w:vAlign w:val="bottom"/>
            <w:tcBorders>
              <w:bottom w:val="single" w:sz="8" w:color="auto"/>
            </w:tcBorders>
            <w:gridSpan w:val="3"/>
          </w:tcPr>
          <w:p>
            <w:pPr>
              <w:jc w:val="right"/>
              <w:ind w:right="57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380" w:type="dxa"/>
            <w:vAlign w:val="bottom"/>
            <w:tcBorders>
              <w:bottom w:val="single" w:sz="8" w:color="auto"/>
            </w:tcBorders>
            <w:gridSpan w:val="3"/>
          </w:tcPr>
          <w:p>
            <w:pPr>
              <w:jc w:val="right"/>
              <w:ind w:right="670"/>
              <w:spacing w:after="0"/>
              <w:rPr>
                <w:sz w:val="20"/>
                <w:szCs w:val="20"/>
                <w:color w:val="auto"/>
              </w:rPr>
            </w:pPr>
            <w:r>
              <w:rPr>
                <w:rFonts w:ascii="Arial" w:cs="Arial" w:eastAsia="Arial" w:hAnsi="Arial"/>
                <w:sz w:val="18"/>
                <w:szCs w:val="18"/>
                <w:b w:val="1"/>
                <w:bCs w:val="1"/>
                <w:color w:val="auto"/>
              </w:rPr>
              <w:t>institutions</w:t>
            </w:r>
          </w:p>
        </w:tc>
        <w:tc>
          <w:tcPr>
            <w:tcW w:w="22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companies</w:t>
            </w: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200" w:type="dxa"/>
            <w:vAlign w:val="bottom"/>
            <w:gridSpan w:val="2"/>
            <w:vMerge w:val="continue"/>
          </w:tcPr>
          <w:p>
            <w:pPr>
              <w:spacing w:after="0"/>
              <w:rPr>
                <w:sz w:val="20"/>
                <w:szCs w:val="20"/>
                <w:color w:val="auto"/>
              </w:rPr>
            </w:pPr>
          </w:p>
        </w:tc>
        <w:tc>
          <w:tcPr>
            <w:tcW w:w="128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State-owned</w:t>
            </w: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State-owned</w:t>
            </w: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Private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1,336,032</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563,877</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1,729,592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361,236</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147,212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4,137,949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523,055</w:t>
            </w:r>
          </w:p>
        </w:tc>
        <w:tc>
          <w:tcPr>
            <w:tcW w:w="1080" w:type="dxa"/>
            <w:vAlign w:val="bottom"/>
          </w:tcPr>
          <w:p>
            <w:pPr>
              <w:jc w:val="right"/>
              <w:spacing w:after="0"/>
              <w:rPr>
                <w:sz w:val="20"/>
                <w:szCs w:val="20"/>
                <w:color w:val="auto"/>
              </w:rPr>
            </w:pPr>
            <w:r>
              <w:rPr>
                <w:rFonts w:ascii="Arial" w:cs="Arial" w:eastAsia="Arial" w:hAnsi="Arial"/>
                <w:sz w:val="18"/>
                <w:szCs w:val="18"/>
                <w:color w:val="auto"/>
              </w:rPr>
              <w:t>159,390</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354,203</w:t>
            </w:r>
          </w:p>
        </w:tc>
        <w:tc>
          <w:tcPr>
            <w:tcW w:w="1080" w:type="dxa"/>
            <w:vAlign w:val="bottom"/>
          </w:tcPr>
          <w:p>
            <w:pPr>
              <w:jc w:val="right"/>
              <w:spacing w:after="0"/>
              <w:rPr>
                <w:sz w:val="20"/>
                <w:szCs w:val="20"/>
                <w:color w:val="auto"/>
              </w:rPr>
            </w:pPr>
            <w:r>
              <w:rPr>
                <w:rFonts w:ascii="Arial" w:cs="Arial" w:eastAsia="Arial" w:hAnsi="Arial"/>
                <w:sz w:val="18"/>
                <w:szCs w:val="18"/>
                <w:color w:val="auto"/>
              </w:rPr>
              <w:t>212,413</w:t>
            </w:r>
          </w:p>
        </w:tc>
        <w:tc>
          <w:tcPr>
            <w:tcW w:w="22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59,889</w:t>
            </w:r>
          </w:p>
        </w:tc>
        <w:tc>
          <w:tcPr>
            <w:tcW w:w="1080" w:type="dxa"/>
            <w:vAlign w:val="bottom"/>
          </w:tcPr>
          <w:p>
            <w:pPr>
              <w:jc w:val="right"/>
              <w:spacing w:after="0"/>
              <w:rPr>
                <w:sz w:val="20"/>
                <w:szCs w:val="20"/>
                <w:color w:val="auto"/>
              </w:rPr>
            </w:pPr>
            <w:r>
              <w:rPr>
                <w:rFonts w:ascii="Arial" w:cs="Arial" w:eastAsia="Arial" w:hAnsi="Arial"/>
                <w:sz w:val="18"/>
                <w:szCs w:val="18"/>
                <w:color w:val="auto"/>
              </w:rPr>
              <w:t>1,308,950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23,759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23,759</w:t>
            </w:r>
          </w:p>
        </w:tc>
        <w:tc>
          <w:tcPr>
            <w:tcW w:w="0" w:type="dxa"/>
            <w:vAlign w:val="bottom"/>
          </w:tcPr>
          <w:p>
            <w:pPr>
              <w:spacing w:after="0"/>
              <w:rPr>
                <w:sz w:val="1"/>
                <w:szCs w:val="1"/>
                <w:color w:val="auto"/>
              </w:rPr>
            </w:pPr>
          </w:p>
        </w:tc>
      </w:tr>
      <w:tr>
        <w:trPr>
          <w:trHeight w:val="216"/>
        </w:trPr>
        <w:tc>
          <w:tcPr>
            <w:tcW w:w="30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23"/>
        </w:trPr>
        <w:tc>
          <w:tcPr>
            <w:tcW w:w="3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1,882,846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723,267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2,083,795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573,649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242,101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8" w:lineRule="exact"/>
        <w:rPr>
          <w:sz w:val="20"/>
          <w:szCs w:val="20"/>
          <w:color w:val="auto"/>
        </w:rPr>
      </w:pPr>
    </w:p>
    <w:p>
      <w:pPr>
        <w:ind w:left="5620" w:right="4580" w:hanging="4964"/>
        <w:spacing w:after="0" w:line="756" w:lineRule="auto"/>
        <w:tabs>
          <w:tab w:leader="none" w:pos="977" w:val="left"/>
        </w:tabs>
        <w:numPr>
          <w:ilvl w:val="0"/>
          <w:numId w:val="25"/>
        </w:numPr>
        <w:rPr>
          <w:rFonts w:ascii="Arial" w:cs="Arial" w:eastAsia="Arial" w:hAnsi="Arial"/>
          <w:sz w:val="26"/>
          <w:szCs w:val="26"/>
          <w:color w:val="auto"/>
          <w:vertAlign w:val="superscript"/>
        </w:rPr>
      </w:pPr>
      <w:r>
        <w:rPr>
          <w:rFonts w:ascii="Arial" w:cs="Arial" w:eastAsia="Arial" w:hAnsi="Arial"/>
          <w:sz w:val="16"/>
          <w:szCs w:val="16"/>
          <w:color w:val="auto"/>
        </w:rPr>
        <w:t>Current ratings as of September 30, 2018 and December 31, 2017, respectively. 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-407670</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200" w:hanging="332"/>
        <w:spacing w:after="0" w:line="604" w:lineRule="auto"/>
        <w:tabs>
          <w:tab w:leader="none" w:pos="340" w:val="left"/>
        </w:tabs>
        <w:numPr>
          <w:ilvl w:val="0"/>
          <w:numId w:val="26"/>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following table provides a breakdown of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556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420" w:type="dxa"/>
            <w:vAlign w:val="bottom"/>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14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541,010</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294,613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15,000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11,368</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Bolivia</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20,087</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15,000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1,175,590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1,019,466</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Chile</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158,991</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170,827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702,067</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829,136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312,215</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356,459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273,560</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249,926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Ecuador</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175,845</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94,315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54,895</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55,110</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Germany</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22,500</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37,500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253,345</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309,024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Honduras</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87,318</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74,476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55,860</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24,435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Luxembourg</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19,985</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19,924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868,554</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850,463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24,953</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29,804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540,394</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500,134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Paraguay</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124,917</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59,536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135,932</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211,846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49,700</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54,500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600</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3,687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111,200</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175,000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57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44,109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Uruguay</w:t>
            </w:r>
          </w:p>
        </w:tc>
        <w:tc>
          <w:tcPr>
            <w:tcW w:w="57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15,000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14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4140" w:type="dxa"/>
            <w:vAlign w:val="bottom"/>
            <w:vMerge w:val="restart"/>
          </w:tcPr>
          <w:p>
            <w:pPr>
              <w:jc w:val="right"/>
              <w:ind w:right="2230"/>
              <w:spacing w:after="0"/>
              <w:rPr>
                <w:sz w:val="20"/>
                <w:szCs w:val="20"/>
                <w:color w:val="auto"/>
              </w:rPr>
            </w:pPr>
            <w:r>
              <w:rPr>
                <w:rFonts w:ascii="Arial" w:cs="Arial" w:eastAsia="Arial" w:hAnsi="Arial"/>
                <w:sz w:val="18"/>
                <w:szCs w:val="18"/>
                <w:color w:val="auto"/>
              </w:rPr>
              <w:t>22</w:t>
            </w: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vMerge w:val="continue"/>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200" w:hanging="332"/>
        <w:spacing w:after="0" w:line="604" w:lineRule="auto"/>
        <w:tabs>
          <w:tab w:leader="none" w:pos="340" w:val="left"/>
        </w:tabs>
        <w:numPr>
          <w:ilvl w:val="0"/>
          <w:numId w:val="27"/>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78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7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210"/>
        </w:trPr>
        <w:tc>
          <w:tcPr>
            <w:tcW w:w="7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818,382</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846,993</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1,024,512</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1,079,793</w:t>
            </w:r>
          </w:p>
        </w:tc>
        <w:tc>
          <w:tcPr>
            <w:tcW w:w="100" w:type="dxa"/>
            <w:vAlign w:val="bottom"/>
            <w:shd w:val="clear" w:color="auto" w:fill="CCEEFF"/>
          </w:tcPr>
          <w:p>
            <w:pPr>
              <w:spacing w:after="0"/>
              <w:rPr>
                <w:sz w:val="18"/>
                <w:szCs w:val="18"/>
                <w:color w:val="auto"/>
              </w:rPr>
            </w:pP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918,042</w:t>
            </w:r>
          </w:p>
        </w:tc>
        <w:tc>
          <w:tcPr>
            <w:tcW w:w="1420" w:type="dxa"/>
            <w:vAlign w:val="bottom"/>
          </w:tcPr>
          <w:p>
            <w:pPr>
              <w:jc w:val="right"/>
              <w:spacing w:after="0"/>
              <w:rPr>
                <w:sz w:val="20"/>
                <w:szCs w:val="20"/>
                <w:color w:val="auto"/>
              </w:rPr>
            </w:pPr>
            <w:r>
              <w:rPr>
                <w:rFonts w:ascii="Arial" w:cs="Arial" w:eastAsia="Arial" w:hAnsi="Arial"/>
                <w:sz w:val="18"/>
                <w:szCs w:val="18"/>
                <w:color w:val="auto"/>
              </w:rPr>
              <w:t>1,175,801</w:t>
            </w: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1,076,886</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922,711</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534,189</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392,456</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1,190,185</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989,222</w:t>
            </w:r>
          </w:p>
        </w:tc>
      </w:tr>
      <w:tr>
        <w:trPr>
          <w:trHeight w:val="230"/>
        </w:trPr>
        <w:tc>
          <w:tcPr>
            <w:tcW w:w="778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43,346</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39,923</w:t>
            </w:r>
          </w:p>
        </w:tc>
      </w:tr>
      <w:tr>
        <w:trPr>
          <w:trHeight w:val="210"/>
        </w:trPr>
        <w:tc>
          <w:tcPr>
            <w:tcW w:w="77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5,605,542</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5,446,899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7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spacing w:after="0"/>
              <w:rPr>
                <w:sz w:val="20"/>
                <w:szCs w:val="20"/>
                <w:color w:val="auto"/>
              </w:rPr>
            </w:pPr>
            <w:r>
              <w:rPr>
                <w:rFonts w:ascii="Arial" w:cs="Arial" w:eastAsia="Arial" w:hAnsi="Arial"/>
                <w:sz w:val="18"/>
                <w:szCs w:val="18"/>
                <w:color w:val="auto"/>
              </w:rPr>
              <w:t>Delinquent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2,857</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30"/>
        </w:trPr>
        <w:tc>
          <w:tcPr>
            <w:tcW w:w="7780" w:type="dxa"/>
            <w:vAlign w:val="bottom"/>
          </w:tcPr>
          <w:p>
            <w:pPr>
              <w:spacing w:after="0"/>
              <w:rPr>
                <w:sz w:val="20"/>
                <w:szCs w:val="20"/>
                <w:color w:val="auto"/>
              </w:rPr>
            </w:pPr>
            <w:r>
              <w:rPr>
                <w:rFonts w:ascii="Arial" w:cs="Arial" w:eastAsia="Arial" w:hAnsi="Arial"/>
                <w:sz w:val="18"/>
                <w:szCs w:val="18"/>
                <w:color w:val="auto"/>
              </w:rPr>
              <w:t>Impaired</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116,119</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58,759</w:t>
            </w:r>
          </w:p>
        </w:tc>
      </w:tr>
      <w:tr>
        <w:trPr>
          <w:trHeight w:val="223"/>
        </w:trPr>
        <w:tc>
          <w:tcPr>
            <w:tcW w:w="7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of September 30, 2018, and December 31, 2017, the range of interest rates on loans fluctuates from 0.85% and 11.62% (2017: 1.35% y 11.52%).</w:t>
      </w:r>
    </w:p>
    <w:p>
      <w:pPr>
        <w:spacing w:after="0" w:line="248"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78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4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7780" w:type="dxa"/>
            <w:vAlign w:val="bottom"/>
          </w:tcPr>
          <w:p>
            <w:pPr>
              <w:spacing w:after="0"/>
              <w:rPr>
                <w:sz w:val="24"/>
                <w:szCs w:val="24"/>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780" w:type="dxa"/>
            <w:vAlign w:val="bottom"/>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77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2,682,659</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2,378,509</w:t>
            </w:r>
          </w:p>
        </w:tc>
        <w:tc>
          <w:tcPr>
            <w:tcW w:w="100" w:type="dxa"/>
            <w:vAlign w:val="bottom"/>
            <w:shd w:val="clear" w:color="auto" w:fill="CCEEFF"/>
          </w:tcPr>
          <w:p>
            <w:pPr>
              <w:spacing w:after="0"/>
              <w:rPr>
                <w:sz w:val="18"/>
                <w:szCs w:val="18"/>
                <w:color w:val="auto"/>
              </w:rPr>
            </w:pPr>
          </w:p>
        </w:tc>
      </w:tr>
      <w:tr>
        <w:trPr>
          <w:trHeight w:val="230"/>
        </w:trPr>
        <w:tc>
          <w:tcPr>
            <w:tcW w:w="778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3,041,859</w:t>
            </w:r>
          </w:p>
        </w:tc>
        <w:tc>
          <w:tcPr>
            <w:tcW w:w="1420" w:type="dxa"/>
            <w:vAlign w:val="bottom"/>
          </w:tcPr>
          <w:p>
            <w:pPr>
              <w:jc w:val="right"/>
              <w:spacing w:after="0"/>
              <w:rPr>
                <w:sz w:val="20"/>
                <w:szCs w:val="20"/>
                <w:color w:val="auto"/>
              </w:rPr>
            </w:pPr>
            <w:r>
              <w:rPr>
                <w:rFonts w:ascii="Arial" w:cs="Arial" w:eastAsia="Arial" w:hAnsi="Arial"/>
                <w:sz w:val="18"/>
                <w:szCs w:val="18"/>
                <w:color w:val="auto"/>
              </w:rPr>
              <w:t>3,127,149</w:t>
            </w:r>
          </w:p>
        </w:tc>
        <w:tc>
          <w:tcPr>
            <w:tcW w:w="100" w:type="dxa"/>
            <w:vAlign w:val="bottom"/>
          </w:tcPr>
          <w:p>
            <w:pPr>
              <w:spacing w:after="0"/>
              <w:rPr>
                <w:sz w:val="19"/>
                <w:szCs w:val="19"/>
                <w:color w:val="auto"/>
              </w:rPr>
            </w:pPr>
          </w:p>
        </w:tc>
      </w:tr>
      <w:tr>
        <w:trPr>
          <w:trHeight w:val="223"/>
        </w:trPr>
        <w:tc>
          <w:tcPr>
            <w:tcW w:w="7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September 30, 2018, and December 31, 2017, 80% and 85%, of the loan portfolio at fixed interest rates has remaining maturities of less than 180 days.</w:t>
      </w:r>
    </w:p>
    <w:p>
      <w:pPr>
        <w:sectPr>
          <w:pgSz w:w="11900" w:h="16838" w:orient="portrait"/>
          <w:cols w:equalWidth="0" w:num="1">
            <w:col w:w="11420"/>
          </w:cols>
          <w:pgMar w:left="240" w:top="877" w:right="239" w:bottom="1440" w:gutter="0" w:footer="0" w:header="0"/>
        </w:sectPr>
      </w:pPr>
    </w:p>
    <w:p>
      <w:pPr>
        <w:spacing w:after="0" w:line="170" w:lineRule="exact"/>
        <w:rPr>
          <w:sz w:val="20"/>
          <w:szCs w:val="20"/>
          <w:color w:val="auto"/>
        </w:rPr>
      </w:pPr>
    </w:p>
    <w:p>
      <w:pPr>
        <w:ind w:left="400"/>
        <w:spacing w:after="0"/>
        <w:rPr>
          <w:sz w:val="20"/>
          <w:szCs w:val="20"/>
          <w:color w:val="auto"/>
        </w:rPr>
      </w:pPr>
      <w:r>
        <w:rPr>
          <w:rFonts w:ascii="Arial" w:cs="Arial" w:eastAsia="Arial" w:hAnsi="Arial"/>
          <w:sz w:val="16"/>
          <w:szCs w:val="16"/>
          <w:color w:val="auto"/>
        </w:rPr>
        <w:t>An analysis of credit-impaired loans is detailed as follows: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With an allowance recorded:</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Middle-market companies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1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w w:val="88"/>
              </w:rPr>
              <w:t>September 30, 2018</w:t>
            </w:r>
          </w:p>
        </w:tc>
        <w:tc>
          <w:tcPr>
            <w:tcW w:w="10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rPr>
              <w:t>2018</w:t>
            </w:r>
          </w:p>
        </w:tc>
        <w:tc>
          <w:tcPr>
            <w:tcW w:w="980" w:type="dxa"/>
            <w:vAlign w:val="bottom"/>
            <w:tcBorders>
              <w:bottom w:val="single" w:sz="8" w:color="auto"/>
            </w:tcBorders>
          </w:tcPr>
          <w:p>
            <w:pPr>
              <w:spacing w:after="0"/>
              <w:rPr>
                <w:sz w:val="20"/>
                <w:szCs w:val="20"/>
                <w:color w:val="auto"/>
              </w:rPr>
            </w:pPr>
          </w:p>
        </w:tc>
      </w:tr>
      <w:tr>
        <w:trPr>
          <w:trHeight w:val="191"/>
        </w:trPr>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3"/>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Average</w:t>
            </w:r>
          </w:p>
        </w:tc>
        <w:tc>
          <w:tcPr>
            <w:tcW w:w="980" w:type="dxa"/>
            <w:vAlign w:val="bottom"/>
          </w:tcPr>
          <w:p>
            <w:pPr>
              <w:spacing w:after="0"/>
              <w:rPr>
                <w:sz w:val="16"/>
                <w:szCs w:val="16"/>
                <w:color w:val="auto"/>
              </w:rPr>
            </w:pPr>
          </w:p>
        </w:tc>
      </w:tr>
      <w:tr>
        <w:trPr>
          <w:trHeight w:val="216"/>
        </w:trPr>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Past due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40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93"/>
              </w:rPr>
              <w:t>principal</w:t>
            </w:r>
          </w:p>
        </w:tc>
        <w:tc>
          <w:tcPr>
            <w:tcW w:w="980" w:type="dxa"/>
            <w:vAlign w:val="bottom"/>
          </w:tcPr>
          <w:p>
            <w:pPr>
              <w:jc w:val="center"/>
              <w:ind w:right="10"/>
              <w:spacing w:after="0"/>
              <w:rPr>
                <w:sz w:val="20"/>
                <w:szCs w:val="20"/>
                <w:color w:val="auto"/>
              </w:rPr>
            </w:pPr>
            <w:r>
              <w:rPr>
                <w:rFonts w:ascii="Arial" w:cs="Arial" w:eastAsia="Arial" w:hAnsi="Arial"/>
                <w:sz w:val="18"/>
                <w:szCs w:val="18"/>
                <w:b w:val="1"/>
                <w:bCs w:val="1"/>
                <w:color w:val="auto"/>
                <w:w w:val="86"/>
              </w:rPr>
              <w:t>Balance</w:t>
            </w:r>
          </w:p>
        </w:tc>
      </w:tr>
      <w:tr>
        <w:trPr>
          <w:trHeight w:val="216"/>
        </w:trPr>
        <w:tc>
          <w:tcPr>
            <w:tcW w:w="1120" w:type="dxa"/>
            <w:vAlign w:val="bottom"/>
          </w:tcPr>
          <w:p>
            <w:pPr>
              <w:jc w:val="right"/>
              <w:ind w:right="110"/>
              <w:spacing w:after="0"/>
              <w:rPr>
                <w:sz w:val="20"/>
                <w:szCs w:val="20"/>
                <w:color w:val="auto"/>
              </w:rPr>
            </w:pPr>
            <w:r>
              <w:rPr>
                <w:rFonts w:ascii="Arial" w:cs="Arial" w:eastAsia="Arial" w:hAnsi="Arial"/>
                <w:sz w:val="18"/>
                <w:szCs w:val="18"/>
                <w:b w:val="1"/>
                <w:bCs w:val="1"/>
                <w:color w:val="auto"/>
              </w:rPr>
              <w:t>Recorded</w:t>
            </w:r>
          </w:p>
        </w:tc>
        <w:tc>
          <w:tcPr>
            <w:tcW w:w="24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principal</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4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6"/>
              </w:rPr>
              <w:t>loan</w:t>
            </w:r>
          </w:p>
        </w:tc>
        <w:tc>
          <w:tcPr>
            <w:tcW w:w="980" w:type="dxa"/>
            <w:vAlign w:val="bottom"/>
          </w:tcPr>
          <w:p>
            <w:pPr>
              <w:jc w:val="center"/>
              <w:ind w:right="30"/>
              <w:spacing w:after="0"/>
              <w:rPr>
                <w:sz w:val="20"/>
                <w:szCs w:val="20"/>
                <w:color w:val="auto"/>
              </w:rPr>
            </w:pPr>
            <w:r>
              <w:rPr>
                <w:rFonts w:ascii="Arial" w:cs="Arial" w:eastAsia="Arial" w:hAnsi="Arial"/>
                <w:sz w:val="18"/>
                <w:szCs w:val="18"/>
                <w:b w:val="1"/>
                <w:bCs w:val="1"/>
                <w:color w:val="auto"/>
                <w:w w:val="89"/>
              </w:rPr>
              <w:t>interest</w:t>
            </w:r>
          </w:p>
        </w:tc>
      </w:tr>
      <w:tr>
        <w:trPr>
          <w:trHeight w:val="234"/>
        </w:trPr>
        <w:tc>
          <w:tcPr>
            <w:tcW w:w="112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investment</w:t>
            </w:r>
          </w:p>
        </w:tc>
        <w:tc>
          <w:tcPr>
            <w:tcW w:w="240" w:type="dxa"/>
            <w:vAlign w:val="bottom"/>
          </w:tcPr>
          <w:p>
            <w:pPr>
              <w:spacing w:after="0"/>
              <w:rPr>
                <w:sz w:val="20"/>
                <w:szCs w:val="20"/>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120" w:type="dxa"/>
            <w:vAlign w:val="bottom"/>
          </w:tcPr>
          <w:p>
            <w:pPr>
              <w:jc w:val="right"/>
              <w:spacing w:after="0"/>
              <w:rPr>
                <w:sz w:val="20"/>
                <w:szCs w:val="20"/>
                <w:color w:val="auto"/>
              </w:rPr>
            </w:pPr>
            <w:r>
              <w:rPr>
                <w:rFonts w:ascii="Arial" w:cs="Arial" w:eastAsia="Arial" w:hAnsi="Arial"/>
                <w:sz w:val="18"/>
                <w:szCs w:val="18"/>
                <w:color w:val="auto"/>
              </w:rPr>
              <w:t>83,976</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6,248</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62,620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40,480</w:t>
            </w:r>
          </w:p>
        </w:tc>
        <w:tc>
          <w:tcPr>
            <w:tcW w:w="100" w:type="dxa"/>
            <w:vAlign w:val="bottom"/>
          </w:tcPr>
          <w:p>
            <w:pPr>
              <w:spacing w:after="0"/>
              <w:rPr>
                <w:sz w:val="24"/>
                <w:szCs w:val="24"/>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745</w:t>
            </w:r>
          </w:p>
        </w:tc>
      </w:tr>
      <w:tr>
        <w:trPr>
          <w:trHeight w:val="230"/>
        </w:trPr>
        <w:tc>
          <w:tcPr>
            <w:tcW w:w="1120" w:type="dxa"/>
            <w:vAlign w:val="bottom"/>
          </w:tcPr>
          <w:p>
            <w:pPr>
              <w:jc w:val="right"/>
              <w:spacing w:after="0"/>
              <w:rPr>
                <w:sz w:val="20"/>
                <w:szCs w:val="20"/>
                <w:color w:val="auto"/>
              </w:rPr>
            </w:pPr>
            <w:r>
              <w:rPr>
                <w:rFonts w:ascii="Arial" w:cs="Arial" w:eastAsia="Arial" w:hAnsi="Arial"/>
                <w:sz w:val="18"/>
                <w:szCs w:val="18"/>
                <w:color w:val="auto"/>
              </w:rPr>
              <w:t>35,000</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26,588</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3,838</w:t>
            </w:r>
          </w:p>
        </w:tc>
      </w:tr>
      <w:tr>
        <w:trPr>
          <w:trHeight w:val="223"/>
        </w:trPr>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118,976</w:t>
            </w:r>
          </w:p>
        </w:tc>
        <w:tc>
          <w:tcPr>
            <w:tcW w:w="24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41,248</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89,208</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75,480</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4,583</w:t>
            </w:r>
          </w:p>
        </w:tc>
      </w:tr>
      <w:tr>
        <w:trPr>
          <w:trHeight w:val="20"/>
        </w:trPr>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-2861945</wp:posOffset>
            </wp:positionH>
            <wp:positionV relativeFrom="paragraph">
              <wp:posOffset>-608330</wp:posOffset>
            </wp:positionV>
            <wp:extent cx="6955155" cy="1460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-2861945</wp:posOffset>
            </wp:positionH>
            <wp:positionV relativeFrom="paragraph">
              <wp:posOffset>-325120</wp:posOffset>
            </wp:positionV>
            <wp:extent cx="6955155" cy="1460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620" w:space="220"/>
            <w:col w:w="6580"/>
          </w:cols>
          <w:pgMar w:left="240" w:top="877" w:right="239" w:bottom="1440" w:gutter="0" w:footer="0" w:header="0"/>
          <w:type w:val="continuous"/>
        </w:sect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type w:val="continuous"/>
        </w:sectPr>
      </w:pPr>
    </w:p>
    <w:bookmarkStart w:id="26" w:name="page27"/>
    <w:bookmarkEnd w:id="26"/>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p>
      <w:pPr>
        <w:spacing w:after="0" w:line="243" w:lineRule="exact"/>
        <w:rPr>
          <w:sz w:val="20"/>
          <w:szCs w:val="20"/>
          <w:color w:val="auto"/>
        </w:rPr>
      </w:pPr>
    </w:p>
    <w:p>
      <w:pPr>
        <w:ind w:left="340" w:right="900" w:hanging="332"/>
        <w:spacing w:after="0" w:line="687" w:lineRule="auto"/>
        <w:tabs>
          <w:tab w:leader="none" w:pos="340" w:val="left"/>
        </w:tabs>
        <w:numPr>
          <w:ilvl w:val="0"/>
          <w:numId w:val="28"/>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spacing w:after="0" w:line="200" w:lineRule="exact"/>
        <w:rPr>
          <w:rFonts w:ascii="Arial" w:cs="Arial" w:eastAsia="Arial" w:hAnsi="Arial"/>
          <w:sz w:val="15"/>
          <w:szCs w:val="15"/>
          <w:b w:val="1"/>
          <w:bCs w:val="1"/>
          <w:color w:val="auto"/>
        </w:rPr>
      </w:pPr>
    </w:p>
    <w:p>
      <w:pPr>
        <w:spacing w:after="0" w:line="200" w:lineRule="exact"/>
        <w:rPr>
          <w:rFonts w:ascii="Arial" w:cs="Arial" w:eastAsia="Arial" w:hAnsi="Arial"/>
          <w:sz w:val="15"/>
          <w:szCs w:val="15"/>
          <w:b w:val="1"/>
          <w:bCs w:val="1"/>
          <w:color w:val="auto"/>
        </w:rPr>
      </w:pPr>
    </w:p>
    <w:p>
      <w:pPr>
        <w:spacing w:after="0" w:line="200" w:lineRule="exact"/>
        <w:rPr>
          <w:rFonts w:ascii="Arial" w:cs="Arial" w:eastAsia="Arial" w:hAnsi="Arial"/>
          <w:sz w:val="15"/>
          <w:szCs w:val="15"/>
          <w:b w:val="1"/>
          <w:bCs w:val="1"/>
          <w:color w:val="auto"/>
        </w:rPr>
      </w:pPr>
    </w:p>
    <w:p>
      <w:pPr>
        <w:spacing w:after="0" w:line="200" w:lineRule="exact"/>
        <w:rPr>
          <w:rFonts w:ascii="Arial" w:cs="Arial" w:eastAsia="Arial" w:hAnsi="Arial"/>
          <w:sz w:val="15"/>
          <w:szCs w:val="15"/>
          <w:b w:val="1"/>
          <w:bCs w:val="1"/>
          <w:color w:val="auto"/>
        </w:rPr>
      </w:pPr>
    </w:p>
    <w:p>
      <w:pPr>
        <w:spacing w:after="0" w:line="201" w:lineRule="exact"/>
        <w:rPr>
          <w:rFonts w:ascii="Arial" w:cs="Arial" w:eastAsia="Arial" w:hAnsi="Arial"/>
          <w:sz w:val="15"/>
          <w:szCs w:val="15"/>
          <w:b w:val="1"/>
          <w:bCs w:val="1"/>
          <w:color w:val="auto"/>
        </w:rPr>
      </w:pPr>
    </w:p>
    <w:p>
      <w:pPr>
        <w:ind w:left="500" w:right="1720" w:hanging="162"/>
        <w:spacing w:after="0" w:line="288" w:lineRule="auto"/>
        <w:rPr>
          <w:rFonts w:ascii="Arial" w:cs="Arial" w:eastAsia="Arial" w:hAnsi="Arial"/>
          <w:sz w:val="15"/>
          <w:szCs w:val="15"/>
          <w:b w:val="1"/>
          <w:bCs w:val="1"/>
          <w:color w:val="auto"/>
        </w:rPr>
      </w:pPr>
      <w:r>
        <w:rPr>
          <w:rFonts w:ascii="Arial" w:cs="Arial" w:eastAsia="Arial" w:hAnsi="Arial"/>
          <w:sz w:val="16"/>
          <w:szCs w:val="16"/>
          <w:color w:val="auto"/>
        </w:rPr>
        <w:t>With an allowance recorded: Private corporations Middle-market companies</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1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w w:val="90"/>
              </w:rPr>
              <w:t>December 31, 2017</w:t>
            </w:r>
          </w:p>
        </w:tc>
        <w:tc>
          <w:tcPr>
            <w:tcW w:w="10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rPr>
              <w:t>2017</w:t>
            </w:r>
          </w:p>
        </w:tc>
        <w:tc>
          <w:tcPr>
            <w:tcW w:w="980" w:type="dxa"/>
            <w:vAlign w:val="bottom"/>
            <w:tcBorders>
              <w:bottom w:val="single" w:sz="8" w:color="auto"/>
            </w:tcBorders>
          </w:tcPr>
          <w:p>
            <w:pPr>
              <w:spacing w:after="0"/>
              <w:rPr>
                <w:sz w:val="20"/>
                <w:szCs w:val="20"/>
                <w:color w:val="auto"/>
              </w:rPr>
            </w:pPr>
          </w:p>
        </w:tc>
      </w:tr>
      <w:tr>
        <w:trPr>
          <w:trHeight w:val="191"/>
        </w:trPr>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3"/>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Average</w:t>
            </w:r>
          </w:p>
        </w:tc>
        <w:tc>
          <w:tcPr>
            <w:tcW w:w="980" w:type="dxa"/>
            <w:vAlign w:val="bottom"/>
          </w:tcPr>
          <w:p>
            <w:pPr>
              <w:spacing w:after="0"/>
              <w:rPr>
                <w:sz w:val="16"/>
                <w:szCs w:val="16"/>
                <w:color w:val="auto"/>
              </w:rPr>
            </w:pPr>
          </w:p>
        </w:tc>
      </w:tr>
      <w:tr>
        <w:trPr>
          <w:trHeight w:val="216"/>
        </w:trPr>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Past due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40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93"/>
              </w:rPr>
              <w:t>principal</w:t>
            </w:r>
          </w:p>
        </w:tc>
        <w:tc>
          <w:tcPr>
            <w:tcW w:w="980" w:type="dxa"/>
            <w:vAlign w:val="bottom"/>
          </w:tcPr>
          <w:p>
            <w:pPr>
              <w:jc w:val="center"/>
              <w:ind w:right="10"/>
              <w:spacing w:after="0"/>
              <w:rPr>
                <w:sz w:val="20"/>
                <w:szCs w:val="20"/>
                <w:color w:val="auto"/>
              </w:rPr>
            </w:pPr>
            <w:r>
              <w:rPr>
                <w:rFonts w:ascii="Arial" w:cs="Arial" w:eastAsia="Arial" w:hAnsi="Arial"/>
                <w:sz w:val="18"/>
                <w:szCs w:val="18"/>
                <w:b w:val="1"/>
                <w:bCs w:val="1"/>
                <w:color w:val="auto"/>
                <w:w w:val="86"/>
              </w:rPr>
              <w:t>Balance</w:t>
            </w:r>
          </w:p>
        </w:tc>
      </w:tr>
      <w:tr>
        <w:trPr>
          <w:trHeight w:val="216"/>
        </w:trPr>
        <w:tc>
          <w:tcPr>
            <w:tcW w:w="1120" w:type="dxa"/>
            <w:vAlign w:val="bottom"/>
          </w:tcPr>
          <w:p>
            <w:pPr>
              <w:jc w:val="right"/>
              <w:ind w:right="110"/>
              <w:spacing w:after="0"/>
              <w:rPr>
                <w:sz w:val="20"/>
                <w:szCs w:val="20"/>
                <w:color w:val="auto"/>
              </w:rPr>
            </w:pPr>
            <w:r>
              <w:rPr>
                <w:rFonts w:ascii="Arial" w:cs="Arial" w:eastAsia="Arial" w:hAnsi="Arial"/>
                <w:sz w:val="18"/>
                <w:szCs w:val="18"/>
                <w:b w:val="1"/>
                <w:bCs w:val="1"/>
                <w:color w:val="auto"/>
              </w:rPr>
              <w:t>Recorded</w:t>
            </w:r>
          </w:p>
        </w:tc>
        <w:tc>
          <w:tcPr>
            <w:tcW w:w="24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principal</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4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6"/>
              </w:rPr>
              <w:t>loan</w:t>
            </w:r>
          </w:p>
        </w:tc>
        <w:tc>
          <w:tcPr>
            <w:tcW w:w="980" w:type="dxa"/>
            <w:vAlign w:val="bottom"/>
          </w:tcPr>
          <w:p>
            <w:pPr>
              <w:jc w:val="center"/>
              <w:ind w:right="30"/>
              <w:spacing w:after="0"/>
              <w:rPr>
                <w:sz w:val="20"/>
                <w:szCs w:val="20"/>
                <w:color w:val="auto"/>
              </w:rPr>
            </w:pPr>
            <w:r>
              <w:rPr>
                <w:rFonts w:ascii="Arial" w:cs="Arial" w:eastAsia="Arial" w:hAnsi="Arial"/>
                <w:sz w:val="18"/>
                <w:szCs w:val="18"/>
                <w:b w:val="1"/>
                <w:bCs w:val="1"/>
                <w:color w:val="auto"/>
                <w:w w:val="89"/>
              </w:rPr>
              <w:t>interest</w:t>
            </w:r>
          </w:p>
        </w:tc>
      </w:tr>
      <w:tr>
        <w:trPr>
          <w:trHeight w:val="234"/>
        </w:trPr>
        <w:tc>
          <w:tcPr>
            <w:tcW w:w="112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investment</w:t>
            </w:r>
          </w:p>
        </w:tc>
        <w:tc>
          <w:tcPr>
            <w:tcW w:w="240" w:type="dxa"/>
            <w:vAlign w:val="bottom"/>
          </w:tcPr>
          <w:p>
            <w:pPr>
              <w:spacing w:after="0"/>
              <w:rPr>
                <w:sz w:val="20"/>
                <w:szCs w:val="20"/>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120" w:type="dxa"/>
            <w:vAlign w:val="bottom"/>
          </w:tcPr>
          <w:p>
            <w:pPr>
              <w:jc w:val="right"/>
              <w:spacing w:after="0"/>
              <w:rPr>
                <w:sz w:val="20"/>
                <w:szCs w:val="20"/>
                <w:color w:val="auto"/>
              </w:rPr>
            </w:pPr>
            <w:r>
              <w:rPr>
                <w:rFonts w:ascii="Arial" w:cs="Arial" w:eastAsia="Arial" w:hAnsi="Arial"/>
                <w:sz w:val="18"/>
                <w:szCs w:val="18"/>
                <w:color w:val="auto"/>
              </w:rPr>
              <w:t>23,759</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7,468</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5,988</w:t>
            </w:r>
          </w:p>
        </w:tc>
        <w:tc>
          <w:tcPr>
            <w:tcW w:w="100" w:type="dxa"/>
            <w:vAlign w:val="bottom"/>
          </w:tcPr>
          <w:p>
            <w:pPr>
              <w:spacing w:after="0"/>
              <w:rPr>
                <w:sz w:val="24"/>
                <w:szCs w:val="24"/>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229</w:t>
            </w:r>
          </w:p>
        </w:tc>
      </w:tr>
      <w:tr>
        <w:trPr>
          <w:trHeight w:val="230"/>
        </w:trPr>
        <w:tc>
          <w:tcPr>
            <w:tcW w:w="1120" w:type="dxa"/>
            <w:vAlign w:val="bottom"/>
          </w:tcPr>
          <w:p>
            <w:pPr>
              <w:jc w:val="right"/>
              <w:spacing w:after="0"/>
              <w:rPr>
                <w:sz w:val="20"/>
                <w:szCs w:val="20"/>
                <w:color w:val="auto"/>
              </w:rPr>
            </w:pPr>
            <w:r>
              <w:rPr>
                <w:rFonts w:ascii="Arial" w:cs="Arial" w:eastAsia="Arial" w:hAnsi="Arial"/>
                <w:sz w:val="18"/>
                <w:szCs w:val="18"/>
                <w:color w:val="auto"/>
              </w:rPr>
              <w:t>35,000</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20,527</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3,028</w:t>
            </w:r>
          </w:p>
        </w:tc>
      </w:tr>
      <w:tr>
        <w:trPr>
          <w:trHeight w:val="223"/>
        </w:trPr>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24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27,995</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40,988</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3,257</w:t>
            </w:r>
          </w:p>
        </w:tc>
      </w:tr>
      <w:tr>
        <w:trPr>
          <w:trHeight w:val="20"/>
        </w:trPr>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-2861945</wp:posOffset>
            </wp:positionH>
            <wp:positionV relativeFrom="paragraph">
              <wp:posOffset>-608330</wp:posOffset>
            </wp:positionV>
            <wp:extent cx="6955155" cy="1460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-2861945</wp:posOffset>
            </wp:positionH>
            <wp:positionV relativeFrom="paragraph">
              <wp:posOffset>-325120</wp:posOffset>
            </wp:positionV>
            <wp:extent cx="6955155" cy="14605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120" w:space="720"/>
            <w:col w:w="6580"/>
          </w:cols>
          <w:pgMar w:left="240" w:top="877" w:right="239" w:bottom="1440" w:gutter="0" w:footer="0" w:header="0"/>
          <w:type w:val="continuous"/>
        </w:sectPr>
      </w:pPr>
    </w:p>
    <w:p>
      <w:pPr>
        <w:spacing w:after="0" w:line="2" w:lineRule="exact"/>
        <w:rPr>
          <w:sz w:val="20"/>
          <w:szCs w:val="20"/>
          <w:color w:val="auto"/>
        </w:rPr>
      </w:pPr>
    </w:p>
    <w:p>
      <w:pPr>
        <w:ind w:left="340" w:right="8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on an effective interest basis on net carrying amount for those financial assets in Stage 3:</w:t>
      </w:r>
    </w:p>
    <w:p>
      <w:pPr>
        <w:spacing w:after="0" w:line="180" w:lineRule="exact"/>
        <w:rPr>
          <w:sz w:val="20"/>
          <w:szCs w:val="20"/>
          <w:color w:val="auto"/>
        </w:rPr>
      </w:pPr>
    </w:p>
    <w:p>
      <w:pPr>
        <w:ind w:left="7800"/>
        <w:spacing w:after="0"/>
        <w:rPr>
          <w:sz w:val="20"/>
          <w:szCs w:val="20"/>
          <w:color w:val="auto"/>
        </w:rPr>
      </w:pPr>
      <w:r>
        <w:rPr>
          <w:rFonts w:ascii="Arial" w:cs="Arial" w:eastAsia="Arial" w:hAnsi="Arial"/>
          <w:sz w:val="18"/>
          <w:szCs w:val="18"/>
          <w:b w:val="1"/>
          <w:bCs w:val="1"/>
          <w:color w:val="auto"/>
        </w:rPr>
        <w:t>Three months ended September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800" w:type="dxa"/>
            <w:vAlign w:val="bottom"/>
          </w:tcPr>
          <w:p>
            <w:pPr>
              <w:spacing w:after="0"/>
              <w:rPr>
                <w:sz w:val="19"/>
                <w:szCs w:val="19"/>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1420" w:type="dxa"/>
            <w:vAlign w:val="bottom"/>
            <w:tcBorders>
              <w:top w:val="single" w:sz="8" w:color="auto"/>
            </w:tcBorders>
            <w:gridSpan w:val="3"/>
          </w:tcPr>
          <w:p>
            <w:pPr>
              <w:jc w:val="center"/>
              <w:ind w:left="970"/>
              <w:spacing w:after="0"/>
              <w:rPr>
                <w:sz w:val="20"/>
                <w:szCs w:val="20"/>
                <w:color w:val="auto"/>
              </w:rPr>
            </w:pPr>
            <w:r>
              <w:rPr>
                <w:rFonts w:ascii="Arial" w:cs="Arial" w:eastAsia="Arial" w:hAnsi="Arial"/>
                <w:sz w:val="18"/>
                <w:szCs w:val="18"/>
                <w:b w:val="1"/>
                <w:bCs w:val="1"/>
                <w:color w:val="auto"/>
                <w:w w:val="89"/>
              </w:rPr>
              <w:t>2017</w:t>
            </w:r>
          </w:p>
        </w:tc>
        <w:tc>
          <w:tcPr>
            <w:tcW w:w="1420" w:type="dxa"/>
            <w:vAlign w:val="bottom"/>
            <w:tcBorders>
              <w:top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2016</w:t>
            </w:r>
          </w:p>
        </w:tc>
        <w:tc>
          <w:tcPr>
            <w:tcW w:w="4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8"/>
              </w:rPr>
              <w:t>1,187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6800" w:type="dxa"/>
            <w:vAlign w:val="bottom"/>
          </w:tcPr>
          <w:p>
            <w:pPr>
              <w:spacing w:after="0"/>
              <w:rPr>
                <w:sz w:val="24"/>
                <w:szCs w:val="24"/>
                <w:color w:val="auto"/>
              </w:rPr>
            </w:pPr>
          </w:p>
        </w:tc>
        <w:tc>
          <w:tcPr>
            <w:tcW w:w="3620" w:type="dxa"/>
            <w:vAlign w:val="bottom"/>
            <w:tcBorders>
              <w:bottom w:val="single" w:sz="8" w:color="auto"/>
            </w:tcBorders>
            <w:gridSpan w:val="7"/>
          </w:tcPr>
          <w:p>
            <w:pPr>
              <w:jc w:val="center"/>
              <w:ind w:left="330"/>
              <w:spacing w:after="0"/>
              <w:rPr>
                <w:sz w:val="20"/>
                <w:szCs w:val="20"/>
                <w:color w:val="auto"/>
              </w:rPr>
            </w:pPr>
            <w:r>
              <w:rPr>
                <w:rFonts w:ascii="Arial" w:cs="Arial" w:eastAsia="Arial" w:hAnsi="Arial"/>
                <w:sz w:val="18"/>
                <w:szCs w:val="18"/>
                <w:b w:val="1"/>
                <w:bCs w:val="1"/>
                <w:color w:val="auto"/>
                <w:w w:val="89"/>
              </w:rPr>
              <w:t>Nine months ended September 30,</w:t>
            </w:r>
          </w:p>
        </w:tc>
        <w:tc>
          <w:tcPr>
            <w:tcW w:w="4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680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2018</w:t>
            </w:r>
          </w:p>
        </w:tc>
        <w:tc>
          <w:tcPr>
            <w:tcW w:w="1420" w:type="dxa"/>
            <w:vAlign w:val="bottom"/>
            <w:gridSpan w:val="3"/>
          </w:tcPr>
          <w:p>
            <w:pPr>
              <w:jc w:val="center"/>
              <w:ind w:left="970"/>
              <w:spacing w:after="0"/>
              <w:rPr>
                <w:sz w:val="20"/>
                <w:szCs w:val="20"/>
                <w:color w:val="auto"/>
              </w:rPr>
            </w:pPr>
            <w:r>
              <w:rPr>
                <w:rFonts w:ascii="Arial" w:cs="Arial" w:eastAsia="Arial" w:hAnsi="Arial"/>
                <w:sz w:val="18"/>
                <w:szCs w:val="18"/>
                <w:b w:val="1"/>
                <w:bCs w:val="1"/>
                <w:color w:val="auto"/>
                <w:w w:val="89"/>
              </w:rPr>
              <w:t>2017</w:t>
            </w:r>
          </w:p>
        </w:tc>
        <w:tc>
          <w:tcPr>
            <w:tcW w:w="1420" w:type="dxa"/>
            <w:vAlign w:val="bottom"/>
            <w:gridSpan w:val="3"/>
          </w:tcPr>
          <w:p>
            <w:pPr>
              <w:jc w:val="right"/>
              <w:spacing w:after="0"/>
              <w:rPr>
                <w:sz w:val="20"/>
                <w:szCs w:val="20"/>
                <w:color w:val="auto"/>
              </w:rPr>
            </w:pPr>
            <w:r>
              <w:rPr>
                <w:rFonts w:ascii="Arial" w:cs="Arial" w:eastAsia="Arial" w:hAnsi="Arial"/>
                <w:sz w:val="18"/>
                <w:szCs w:val="18"/>
                <w:b w:val="1"/>
                <w:bCs w:val="1"/>
                <w:color w:val="auto"/>
              </w:rPr>
              <w:t>2016</w:t>
            </w:r>
          </w:p>
        </w:tc>
        <w:tc>
          <w:tcPr>
            <w:tcW w:w="4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8"/>
              </w:rPr>
              <w:t>2,151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8"/>
              </w:rPr>
              <w:t>1,173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8"/>
              </w:rPr>
              <w:t>1,561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an aging analysis of the loan portfolio:</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56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Greater</w:t>
            </w:r>
          </w:p>
        </w:tc>
        <w:tc>
          <w:tcPr>
            <w:tcW w:w="880" w:type="dxa"/>
            <w:vAlign w:val="bottom"/>
            <w:tcBorders>
              <w:top w:val="single" w:sz="8" w:color="auto"/>
            </w:tcBorders>
            <w:gridSpan w:val="2"/>
          </w:tcPr>
          <w:p>
            <w:pPr>
              <w:ind w:left="140"/>
              <w:spacing w:after="0" w:line="191" w:lineRule="exact"/>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b w:val="1"/>
                <w:bCs w:val="1"/>
                <w:color w:val="auto"/>
                <w:w w:val="99"/>
              </w:rPr>
              <w:t>91-120</w:t>
            </w:r>
          </w:p>
        </w:tc>
        <w:tc>
          <w:tcPr>
            <w:tcW w:w="2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0"/>
              </w:rPr>
              <w:t>121-150</w:t>
            </w:r>
          </w:p>
        </w:tc>
        <w:tc>
          <w:tcPr>
            <w:tcW w:w="100" w:type="dxa"/>
            <w:vAlign w:val="bottom"/>
          </w:tcPr>
          <w:p>
            <w:pPr>
              <w:spacing w:after="0"/>
              <w:rPr>
                <w:sz w:val="18"/>
                <w:szCs w:val="18"/>
                <w:color w:val="auto"/>
              </w:rPr>
            </w:pPr>
          </w:p>
        </w:tc>
        <w:tc>
          <w:tcPr>
            <w:tcW w:w="760" w:type="dxa"/>
            <w:vAlign w:val="bottom"/>
            <w:gridSpan w:val="2"/>
          </w:tcPr>
          <w:p>
            <w:pPr>
              <w:jc w:val="right"/>
              <w:spacing w:after="0"/>
              <w:rPr>
                <w:sz w:val="20"/>
                <w:szCs w:val="20"/>
                <w:color w:val="auto"/>
              </w:rPr>
            </w:pPr>
            <w:r>
              <w:rPr>
                <w:rFonts w:ascii="Arial" w:cs="Arial" w:eastAsia="Arial" w:hAnsi="Arial"/>
                <w:sz w:val="18"/>
                <w:szCs w:val="18"/>
                <w:b w:val="1"/>
                <w:bCs w:val="1"/>
                <w:color w:val="auto"/>
              </w:rPr>
              <w:t>151-180</w:t>
            </w:r>
          </w:p>
        </w:tc>
        <w:tc>
          <w:tcPr>
            <w:tcW w:w="220" w:type="dxa"/>
            <w:vAlign w:val="bottom"/>
          </w:tcPr>
          <w:p>
            <w:pPr>
              <w:spacing w:after="0"/>
              <w:rPr>
                <w:sz w:val="18"/>
                <w:szCs w:val="18"/>
                <w:color w:val="auto"/>
              </w:rPr>
            </w:pPr>
          </w:p>
        </w:tc>
        <w:tc>
          <w:tcPr>
            <w:tcW w:w="8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than 180</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Past</w:t>
            </w: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8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days</w:t>
            </w:r>
          </w:p>
        </w:tc>
        <w:tc>
          <w:tcPr>
            <w:tcW w:w="76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100" w:type="dxa"/>
            <w:vAlign w:val="bottom"/>
          </w:tcPr>
          <w:p>
            <w:pPr>
              <w:spacing w:after="0"/>
              <w:rPr>
                <w:sz w:val="20"/>
                <w:szCs w:val="20"/>
                <w:color w:val="auto"/>
              </w:rPr>
            </w:pPr>
          </w:p>
        </w:tc>
        <w:tc>
          <w:tcPr>
            <w:tcW w:w="88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days</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Current</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61,844</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61,844</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2,857</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2,545,799</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2,610,500</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6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7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2,990,026</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2,990,026</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88,992</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123,992</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560" w:type="dxa"/>
            <w:vAlign w:val="bottom"/>
          </w:tcPr>
          <w:p>
            <w:pPr>
              <w:spacing w:after="0"/>
              <w:rPr>
                <w:sz w:val="20"/>
                <w:szCs w:val="20"/>
                <w:color w:val="auto"/>
              </w:rPr>
            </w:pPr>
            <w:r>
              <w:rPr>
                <w:rFonts w:ascii="Arial" w:cs="Arial" w:eastAsia="Arial" w:hAnsi="Arial"/>
                <w:sz w:val="18"/>
                <w:szCs w:val="18"/>
                <w:color w:val="auto"/>
              </w:rPr>
              <w:t>Total</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61,844</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96,844</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2,857</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5,624,817</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5,724,518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gridSpan w:val="2"/>
          </w:tcPr>
          <w:p>
            <w:pPr>
              <w:jc w:val="right"/>
              <w:ind w:right="390"/>
              <w:spacing w:after="0"/>
              <w:rPr>
                <w:sz w:val="20"/>
                <w:szCs w:val="20"/>
                <w:color w:val="auto"/>
              </w:rPr>
            </w:pPr>
            <w:r>
              <w:rPr>
                <w:rFonts w:ascii="Arial" w:cs="Arial" w:eastAsia="Arial" w:hAnsi="Arial"/>
                <w:sz w:val="18"/>
                <w:szCs w:val="18"/>
                <w:color w:val="auto"/>
              </w:rPr>
              <w:t>24</w:t>
            </w: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type w:val="continuous"/>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200" w:hanging="332"/>
        <w:spacing w:after="0" w:line="601" w:lineRule="auto"/>
        <w:tabs>
          <w:tab w:leader="none" w:pos="340" w:val="left"/>
        </w:tabs>
        <w:numPr>
          <w:ilvl w:val="0"/>
          <w:numId w:val="29"/>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540" w:type="dxa"/>
            <w:vAlign w:val="bottom"/>
            <w:tcBorders>
              <w:top w:val="single" w:sz="8" w:color="auto"/>
            </w:tcBorders>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Greater</w:t>
            </w:r>
          </w:p>
        </w:tc>
        <w:tc>
          <w:tcPr>
            <w:tcW w:w="880" w:type="dxa"/>
            <w:vAlign w:val="bottom"/>
            <w:tcBorders>
              <w:top w:val="single" w:sz="8" w:color="auto"/>
            </w:tcBorders>
            <w:gridSpan w:val="2"/>
          </w:tcPr>
          <w:p>
            <w:pPr>
              <w:ind w:left="140"/>
              <w:spacing w:after="0" w:line="191" w:lineRule="exact"/>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4100" w:type="dxa"/>
            <w:vAlign w:val="bottom"/>
            <w:gridSpan w:val="2"/>
          </w:tcPr>
          <w:p>
            <w:pPr>
              <w:ind w:left="3600"/>
              <w:spacing w:after="0"/>
              <w:rPr>
                <w:sz w:val="20"/>
                <w:szCs w:val="20"/>
                <w:color w:val="auto"/>
              </w:rPr>
            </w:pPr>
            <w:r>
              <w:rPr>
                <w:rFonts w:ascii="Arial" w:cs="Arial" w:eastAsia="Arial" w:hAnsi="Arial"/>
                <w:sz w:val="18"/>
                <w:szCs w:val="18"/>
                <w:b w:val="1"/>
                <w:bCs w:val="1"/>
                <w:color w:val="auto"/>
                <w:w w:val="85"/>
              </w:rPr>
              <w:t>91-120</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b w:val="1"/>
                <w:bCs w:val="1"/>
                <w:color w:val="auto"/>
                <w:w w:val="90"/>
              </w:rPr>
              <w:t>121-150</w:t>
            </w:r>
          </w:p>
        </w:tc>
        <w:tc>
          <w:tcPr>
            <w:tcW w:w="2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0"/>
              </w:rPr>
              <w:t>151-180</w:t>
            </w:r>
          </w:p>
        </w:tc>
        <w:tc>
          <w:tcPr>
            <w:tcW w:w="220" w:type="dxa"/>
            <w:vAlign w:val="bottom"/>
          </w:tcPr>
          <w:p>
            <w:pPr>
              <w:spacing w:after="0"/>
              <w:rPr>
                <w:sz w:val="18"/>
                <w:szCs w:val="18"/>
                <w:color w:val="auto"/>
              </w:rPr>
            </w:pPr>
          </w:p>
        </w:tc>
        <w:tc>
          <w:tcPr>
            <w:tcW w:w="9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than 180</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Past</w:t>
            </w: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540" w:type="dxa"/>
            <w:vAlign w:val="bottom"/>
          </w:tcPr>
          <w:p>
            <w:pPr>
              <w:spacing w:after="0"/>
              <w:rPr>
                <w:sz w:val="20"/>
                <w:szCs w:val="20"/>
                <w:color w:val="auto"/>
              </w:rPr>
            </w:pPr>
          </w:p>
        </w:tc>
        <w:tc>
          <w:tcPr>
            <w:tcW w:w="560" w:type="dxa"/>
            <w:vAlign w:val="bottom"/>
          </w:tcPr>
          <w:p>
            <w:pPr>
              <w:ind w:left="160"/>
              <w:spacing w:after="0"/>
              <w:rPr>
                <w:sz w:val="20"/>
                <w:szCs w:val="20"/>
                <w:color w:val="auto"/>
              </w:rPr>
            </w:pPr>
            <w:r>
              <w:rPr>
                <w:rFonts w:ascii="Arial" w:cs="Arial" w:eastAsia="Arial" w:hAnsi="Arial"/>
                <w:sz w:val="18"/>
                <w:szCs w:val="18"/>
                <w:b w:val="1"/>
                <w:bCs w:val="1"/>
                <w:color w:val="auto"/>
                <w:w w:val="92"/>
              </w:rPr>
              <w:t>days</w:t>
            </w: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9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days</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Current</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5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5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100" w:type="dxa"/>
            <w:vAlign w:val="bottom"/>
            <w:gridSpan w:val="2"/>
          </w:tcPr>
          <w:p>
            <w:pPr>
              <w:spacing w:after="0"/>
              <w:rPr>
                <w:sz w:val="20"/>
                <w:szCs w:val="20"/>
                <w:color w:val="auto"/>
              </w:rPr>
            </w:pPr>
            <w:r>
              <w:rPr>
                <w:rFonts w:ascii="Arial" w:cs="Arial" w:eastAsia="Arial" w:hAnsi="Arial"/>
                <w:sz w:val="18"/>
                <w:szCs w:val="18"/>
                <w:color w:val="auto"/>
              </w:rPr>
              <w:t>Banking and financial institutions</w:t>
            </w:r>
          </w:p>
        </w:tc>
        <w:tc>
          <w:tcPr>
            <w:tcW w:w="280" w:type="dxa"/>
            <w:vAlign w:val="bottom"/>
            <w:gridSpan w:val="2"/>
          </w:tcPr>
          <w:p>
            <w:pPr>
              <w:jc w:val="right"/>
              <w:ind w:right="220"/>
              <w:spacing w:after="0"/>
              <w:rPr>
                <w:sz w:val="20"/>
                <w:szCs w:val="20"/>
                <w:color w:val="auto"/>
              </w:rPr>
            </w:pPr>
            <w:r>
              <w:rPr>
                <w:rFonts w:ascii="Arial" w:cs="Arial" w:eastAsia="Arial" w:hAnsi="Arial"/>
                <w:sz w:val="16"/>
                <w:szCs w:val="16"/>
                <w:color w:val="auto"/>
                <w:w w:val="74"/>
              </w:rPr>
              <w:t>-</w:t>
            </w:r>
          </w:p>
        </w:tc>
        <w:tc>
          <w:tcPr>
            <w:tcW w:w="6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2,657,444</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2,657,444</w:t>
            </w:r>
          </w:p>
        </w:tc>
        <w:tc>
          <w:tcPr>
            <w:tcW w:w="100" w:type="dxa"/>
            <w:vAlign w:val="bottom"/>
          </w:tcPr>
          <w:p>
            <w:pPr>
              <w:spacing w:after="0"/>
              <w:rPr>
                <w:sz w:val="18"/>
                <w:szCs w:val="18"/>
                <w:color w:val="auto"/>
              </w:rPr>
            </w:pPr>
          </w:p>
        </w:tc>
      </w:tr>
      <w:tr>
        <w:trPr>
          <w:trHeight w:val="230"/>
        </w:trPr>
        <w:tc>
          <w:tcPr>
            <w:tcW w:w="41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74"/>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207,101</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242,101</w:t>
            </w:r>
          </w:p>
        </w:tc>
      </w:tr>
      <w:tr>
        <w:trPr>
          <w:trHeight w:val="223"/>
        </w:trPr>
        <w:tc>
          <w:tcPr>
            <w:tcW w:w="3540" w:type="dxa"/>
            <w:vAlign w:val="bottom"/>
          </w:tcPr>
          <w:p>
            <w:pPr>
              <w:spacing w:after="0"/>
              <w:rPr>
                <w:sz w:val="20"/>
                <w:szCs w:val="20"/>
                <w:color w:val="auto"/>
              </w:rPr>
            </w:pPr>
            <w:r>
              <w:rPr>
                <w:rFonts w:ascii="Arial" w:cs="Arial" w:eastAsia="Arial" w:hAnsi="Arial"/>
                <w:sz w:val="18"/>
                <w:szCs w:val="18"/>
                <w:color w:val="auto"/>
              </w:rPr>
              <w:t>Total</w:t>
            </w:r>
          </w:p>
        </w:tc>
        <w:tc>
          <w:tcPr>
            <w:tcW w:w="5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5,470,658</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Pr>
          <w:p>
            <w:pPr>
              <w:spacing w:after="0"/>
              <w:rPr>
                <w:sz w:val="19"/>
                <w:szCs w:val="19"/>
                <w:color w:val="auto"/>
              </w:rPr>
            </w:pPr>
          </w:p>
        </w:tc>
      </w:tr>
      <w:tr>
        <w:trPr>
          <w:trHeight w:val="20"/>
        </w:trPr>
        <w:tc>
          <w:tcPr>
            <w:tcW w:w="354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As of September 30, 2018, and December 31, 2017, the Bank had credit transactions in the normal course of business with 16% and 21%, respectively, of its Class “A” and “B” stockholders. All transactions were made based on arm’s-length terms and subject to prevailing commercial criteria and market rates and were subject to all the Bank’s Corporate Governance and control procedures. As of September 30, 2018, and December 31, 2017, approximately 9% and 14%, respectively, of the outstanding loan portfolio was placed with the Bank’s Class “A” and “B” stockholders and their related parties. As of September 30, 2018,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1"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Modified financial assets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following table refer to modified financial assets, where modification does not result in de-recognition:</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480" w:type="dxa"/>
            <w:vAlign w:val="bottom"/>
          </w:tcPr>
          <w:p>
            <w:pPr>
              <w:spacing w:after="0"/>
              <w:rPr>
                <w:sz w:val="20"/>
                <w:szCs w:val="20"/>
                <w:color w:val="auto"/>
              </w:rPr>
            </w:pPr>
            <w:r>
              <w:rPr>
                <w:rFonts w:ascii="Arial" w:cs="Arial" w:eastAsia="Arial" w:hAnsi="Arial"/>
                <w:sz w:val="18"/>
                <w:szCs w:val="18"/>
                <w:b w:val="1"/>
                <w:bCs w:val="1"/>
                <w:color w:val="auto"/>
              </w:rPr>
              <w:t>Modified financial assets (with loss allowance based on</w:t>
            </w:r>
          </w:p>
        </w:tc>
        <w:tc>
          <w:tcPr>
            <w:tcW w:w="1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8"/>
        </w:trPr>
        <w:tc>
          <w:tcPr>
            <w:tcW w:w="7480" w:type="dxa"/>
            <w:vAlign w:val="bottom"/>
          </w:tcPr>
          <w:p>
            <w:pPr>
              <w:spacing w:after="0"/>
              <w:rPr>
                <w:sz w:val="20"/>
                <w:szCs w:val="20"/>
                <w:color w:val="auto"/>
              </w:rPr>
            </w:pPr>
            <w:r>
              <w:rPr>
                <w:rFonts w:ascii="Arial" w:cs="Arial" w:eastAsia="Arial" w:hAnsi="Arial"/>
                <w:sz w:val="18"/>
                <w:szCs w:val="18"/>
                <w:b w:val="1"/>
                <w:bCs w:val="1"/>
                <w:color w:val="auto"/>
              </w:rPr>
              <w:t>lifetime ECL) modified during the period</w:t>
            </w:r>
          </w:p>
        </w:tc>
        <w:tc>
          <w:tcPr>
            <w:tcW w:w="1700" w:type="dxa"/>
            <w:vAlign w:val="bottom"/>
            <w:gridSpan w:val="2"/>
          </w:tcPr>
          <w:p>
            <w:pPr>
              <w:spacing w:after="0"/>
              <w:rPr>
                <w:sz w:val="20"/>
                <w:szCs w:val="20"/>
                <w:color w:val="auto"/>
              </w:rPr>
            </w:pPr>
            <w:r>
              <w:rPr>
                <w:rFonts w:ascii="Arial" w:cs="Arial" w:eastAsia="Arial" w:hAnsi="Arial"/>
                <w:sz w:val="18"/>
                <w:szCs w:val="18"/>
                <w:b w:val="1"/>
                <w:bCs w:val="1"/>
                <w:color w:val="auto"/>
                <w:w w:val="99"/>
              </w:rPr>
              <w:t>September 30, 2018</w:t>
            </w:r>
          </w:p>
        </w:tc>
        <w:tc>
          <w:tcPr>
            <w:tcW w:w="154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w w:val="88"/>
              </w:rPr>
              <w:t>December 31, 2017</w:t>
            </w:r>
          </w:p>
        </w:tc>
        <w:tc>
          <w:tcPr>
            <w:tcW w:w="0" w:type="dxa"/>
            <w:vAlign w:val="bottom"/>
          </w:tcPr>
          <w:p>
            <w:pPr>
              <w:spacing w:after="0"/>
              <w:rPr>
                <w:sz w:val="1"/>
                <w:szCs w:val="1"/>
                <w:color w:val="auto"/>
              </w:rPr>
            </w:pPr>
          </w:p>
        </w:tc>
      </w:tr>
      <w:tr>
        <w:trPr>
          <w:trHeight w:val="210"/>
        </w:trPr>
        <w:tc>
          <w:tcPr>
            <w:tcW w:w="7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 before modification</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8,855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480" w:type="dxa"/>
            <w:vAlign w:val="bottom"/>
          </w:tcPr>
          <w:p>
            <w:pPr>
              <w:spacing w:after="0"/>
              <w:rPr>
                <w:sz w:val="20"/>
                <w:szCs w:val="20"/>
                <w:color w:val="auto"/>
              </w:rPr>
            </w:pPr>
            <w:r>
              <w:rPr>
                <w:rFonts w:ascii="Arial" w:cs="Arial" w:eastAsia="Arial" w:hAnsi="Arial"/>
                <w:sz w:val="18"/>
                <w:szCs w:val="18"/>
                <w:color w:val="auto"/>
              </w:rPr>
              <w:t>Loss allowance before modification</w:t>
            </w:r>
          </w:p>
        </w:tc>
        <w:tc>
          <w:tcPr>
            <w:tcW w:w="15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540" w:type="dxa"/>
            <w:vAlign w:val="bottom"/>
            <w:gridSpan w:val="3"/>
          </w:tcPr>
          <w:p>
            <w:pPr>
              <w:jc w:val="right"/>
              <w:ind w:right="40"/>
              <w:spacing w:after="0"/>
              <w:rPr>
                <w:sz w:val="20"/>
                <w:szCs w:val="20"/>
                <w:color w:val="auto"/>
              </w:rPr>
            </w:pPr>
            <w:r>
              <w:rPr>
                <w:rFonts w:ascii="Arial" w:cs="Arial" w:eastAsia="Arial" w:hAnsi="Arial"/>
                <w:sz w:val="18"/>
                <w:szCs w:val="18"/>
                <w:color w:val="auto"/>
              </w:rPr>
              <w:t>(3,344)</w:t>
            </w:r>
          </w:p>
        </w:tc>
        <w:tc>
          <w:tcPr>
            <w:tcW w:w="0" w:type="dxa"/>
            <w:vAlign w:val="bottom"/>
          </w:tcPr>
          <w:p>
            <w:pPr>
              <w:spacing w:after="0"/>
              <w:rPr>
                <w:sz w:val="1"/>
                <w:szCs w:val="1"/>
                <w:color w:val="auto"/>
              </w:rPr>
            </w:pPr>
          </w:p>
        </w:tc>
      </w:tr>
      <w:tr>
        <w:trPr>
          <w:trHeight w:val="223"/>
        </w:trPr>
        <w:tc>
          <w:tcPr>
            <w:tcW w:w="74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amortized cost before modification</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5,511</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480" w:type="dxa"/>
            <w:vAlign w:val="bottom"/>
            <w:vMerge w:val="restart"/>
          </w:tcPr>
          <w:p>
            <w:pPr>
              <w:spacing w:after="0"/>
              <w:rPr>
                <w:sz w:val="20"/>
                <w:szCs w:val="20"/>
                <w:color w:val="auto"/>
              </w:rPr>
            </w:pPr>
            <w:r>
              <w:rPr>
                <w:rFonts w:ascii="Arial" w:cs="Arial" w:eastAsia="Arial" w:hAnsi="Arial"/>
                <w:sz w:val="18"/>
                <w:szCs w:val="18"/>
                <w:color w:val="auto"/>
              </w:rPr>
              <w:t>Gross carrying amount after modification</w:t>
            </w:r>
          </w:p>
        </w:tc>
        <w:tc>
          <w:tcPr>
            <w:tcW w:w="1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480" w:type="dxa"/>
            <w:vAlign w:val="bottom"/>
            <w:vMerge w:val="continue"/>
          </w:tcPr>
          <w:p>
            <w:pPr>
              <w:spacing w:after="0"/>
              <w:rPr>
                <w:sz w:val="17"/>
                <w:szCs w:val="17"/>
                <w:color w:val="auto"/>
              </w:rPr>
            </w:pPr>
          </w:p>
        </w:tc>
        <w:tc>
          <w:tcPr>
            <w:tcW w:w="1500" w:type="dxa"/>
            <w:vAlign w:val="bottom"/>
          </w:tcPr>
          <w:p>
            <w:pPr>
              <w:jc w:val="right"/>
              <w:spacing w:after="0" w:line="196" w:lineRule="exact"/>
              <w:rPr>
                <w:sz w:val="20"/>
                <w:szCs w:val="20"/>
                <w:color w:val="auto"/>
              </w:rPr>
            </w:pPr>
            <w:r>
              <w:rPr>
                <w:rFonts w:ascii="Arial" w:cs="Arial" w:eastAsia="Arial" w:hAnsi="Arial"/>
                <w:sz w:val="18"/>
                <w:szCs w:val="18"/>
                <w:color w:val="auto"/>
              </w:rPr>
              <w:t>-</w:t>
            </w:r>
          </w:p>
        </w:tc>
        <w:tc>
          <w:tcPr>
            <w:tcW w:w="200" w:type="dxa"/>
            <w:vAlign w:val="bottom"/>
          </w:tcPr>
          <w:p>
            <w:pPr>
              <w:spacing w:after="0"/>
              <w:rPr>
                <w:sz w:val="17"/>
                <w:szCs w:val="17"/>
                <w:color w:val="auto"/>
              </w:rPr>
            </w:pPr>
          </w:p>
        </w:tc>
        <w:tc>
          <w:tcPr>
            <w:tcW w:w="1440" w:type="dxa"/>
            <w:vAlign w:val="bottom"/>
          </w:tcPr>
          <w:p>
            <w:pPr>
              <w:jc w:val="right"/>
              <w:spacing w:after="0" w:line="196" w:lineRule="exact"/>
              <w:rPr>
                <w:sz w:val="20"/>
                <w:szCs w:val="20"/>
                <w:color w:val="auto"/>
              </w:rPr>
            </w:pPr>
            <w:r>
              <w:rPr>
                <w:rFonts w:ascii="Arial" w:cs="Arial" w:eastAsia="Arial" w:hAnsi="Arial"/>
                <w:sz w:val="18"/>
                <w:szCs w:val="18"/>
                <w:color w:val="auto"/>
              </w:rPr>
              <w:t>4,484</w:t>
            </w:r>
          </w:p>
        </w:tc>
        <w:tc>
          <w:tcPr>
            <w:tcW w:w="2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7480" w:type="dxa"/>
            <w:vAlign w:val="bottom"/>
            <w:shd w:val="clear" w:color="auto" w:fill="CCEEFF"/>
          </w:tcPr>
          <w:p>
            <w:pPr>
              <w:spacing w:after="0"/>
              <w:rPr>
                <w:sz w:val="20"/>
                <w:szCs w:val="20"/>
                <w:color w:val="auto"/>
              </w:rPr>
            </w:pPr>
            <w:r>
              <w:rPr>
                <w:rFonts w:ascii="Arial" w:cs="Arial" w:eastAsia="Arial" w:hAnsi="Arial"/>
                <w:sz w:val="18"/>
                <w:szCs w:val="18"/>
                <w:color w:val="auto"/>
              </w:rPr>
              <w:t>Loss allowance after modification</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5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(4,484)</w:t>
            </w:r>
          </w:p>
        </w:tc>
        <w:tc>
          <w:tcPr>
            <w:tcW w:w="0" w:type="dxa"/>
            <w:vAlign w:val="bottom"/>
          </w:tcPr>
          <w:p>
            <w:pPr>
              <w:spacing w:after="0"/>
              <w:rPr>
                <w:sz w:val="1"/>
                <w:szCs w:val="1"/>
                <w:color w:val="auto"/>
              </w:rPr>
            </w:pPr>
          </w:p>
        </w:tc>
      </w:tr>
      <w:tr>
        <w:trPr>
          <w:trHeight w:val="223"/>
        </w:trPr>
        <w:tc>
          <w:tcPr>
            <w:tcW w:w="7480" w:type="dxa"/>
            <w:vAlign w:val="bottom"/>
          </w:tcPr>
          <w:p>
            <w:pPr>
              <w:spacing w:after="0"/>
              <w:rPr>
                <w:sz w:val="20"/>
                <w:szCs w:val="20"/>
                <w:color w:val="auto"/>
              </w:rPr>
            </w:pPr>
            <w:r>
              <w:rPr>
                <w:rFonts w:ascii="Arial" w:cs="Arial" w:eastAsia="Arial" w:hAnsi="Arial"/>
                <w:sz w:val="18"/>
                <w:szCs w:val="18"/>
                <w:color w:val="auto"/>
              </w:rPr>
              <w:t>Net amortized cost after modification</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4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For the modified financial assets during the year 2017, were received other real estate owned for $ 5,119.</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30"/>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right="80"/>
        <w:spacing w:after="0" w:line="277" w:lineRule="auto"/>
        <w:rPr>
          <w:rFonts w:ascii="Arial" w:cs="Arial" w:eastAsia="Arial" w:hAnsi="Arial"/>
          <w:sz w:val="15"/>
          <w:szCs w:val="15"/>
          <w:b w:val="1"/>
          <w:bCs w:val="1"/>
          <w:color w:val="auto"/>
        </w:rPr>
      </w:pPr>
      <w:r>
        <w:rPr>
          <w:rFonts w:ascii="Arial" w:cs="Arial" w:eastAsia="Arial" w:hAnsi="Arial"/>
          <w:sz w:val="18"/>
          <w:szCs w:val="18"/>
          <w:color w:val="auto"/>
        </w:rPr>
        <w:t>The significant changes in the gross carrying amount of loans during the period that contributed to changes in the allowance for expected credit loss, is provided at the table below:</w:t>
      </w:r>
    </w:p>
    <w:p>
      <w:pPr>
        <w:spacing w:after="0" w:line="96"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4,839,227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607,672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58,759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(38,654)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38,654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credit-impaired</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(5,714)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(61,845)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67,559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39,560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(39,560)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(3,746,902)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(325,637)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(2,858)</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(4,075,397)</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2017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(3,751,710)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(388,388)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64,701</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(4,075,397)</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4,298,741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4,298,741</w:t>
            </w:r>
          </w:p>
        </w:tc>
        <w:tc>
          <w:tcPr>
            <w:tcW w:w="10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(4,484)</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(4,484)</w:t>
            </w: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September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5,386,258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219,284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118,976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5,019,368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935,999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65,364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(41,167)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41,167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 -impaired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(46,673)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46,673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8,000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(8,000)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(4,214,697)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(313,394)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(21,667)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(4,549,758)</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5380" w:type="dxa"/>
            <w:vAlign w:val="bottom"/>
          </w:tcPr>
          <w:p>
            <w:pPr>
              <w:ind w:left="120"/>
              <w:spacing w:after="0"/>
              <w:rPr>
                <w:sz w:val="20"/>
                <w:szCs w:val="20"/>
                <w:color w:val="auto"/>
              </w:rPr>
            </w:pPr>
            <w:r>
              <w:rPr>
                <w:rFonts w:ascii="Arial" w:cs="Arial" w:eastAsia="Arial" w:hAnsi="Arial"/>
                <w:sz w:val="18"/>
                <w:szCs w:val="18"/>
                <w:color w:val="auto"/>
              </w:rPr>
              <w:t>2016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(4,247,864)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(326,900)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25,006</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(4,549,758)</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4,067,723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4,067,723</w:t>
            </w:r>
          </w:p>
        </w:tc>
        <w:tc>
          <w:tcPr>
            <w:tcW w:w="10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(1,427)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(31,611)</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(33,038)</w:t>
            </w: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4,839,227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607,672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58,759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31"/>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31"/>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31"/>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32"/>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allowances for expected credit losses related to loans at amortized cost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(109)</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109</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 impaired financial instruments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(7,864)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7,975</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4,172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(4,172)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(4,249)</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57,721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53,293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(13,889)</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(8,042)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(21,931)</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2017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(14,186)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(20,148)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31,362</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31,146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31,146</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(4,484)</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(4,484)</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September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36,781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13,329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89,208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139,318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29,036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41,599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105,988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(672)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672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(12,845)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12,845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1,428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(1,428)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18,227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20,257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35,584</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(24,434)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(11,321)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(8,333)</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(44,088)</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53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(26,578)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(6,695)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24,769</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(8,504)</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17,363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17,363</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(1,427)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(32,126)</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(33,553)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33"/>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33"/>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33"/>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Quantitative information on derivative financial instruments held for hedging purposes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2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8"/>
                <w:szCs w:val="18"/>
                <w:b w:val="1"/>
                <w:bCs w:val="1"/>
                <w:color w:val="auto"/>
              </w:rPr>
              <w:t>September 30, 2018</w:t>
            </w:r>
          </w:p>
        </w:tc>
        <w:tc>
          <w:tcPr>
            <w:tcW w:w="13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tcPr>
          <w:p>
            <w:pPr>
              <w:spacing w:after="0"/>
              <w:rPr>
                <w:sz w:val="16"/>
                <w:szCs w:val="16"/>
                <w:color w:val="auto"/>
              </w:rPr>
            </w:pPr>
          </w:p>
        </w:tc>
      </w:tr>
      <w:tr>
        <w:trPr>
          <w:trHeight w:val="216"/>
        </w:trPr>
        <w:tc>
          <w:tcPr>
            <w:tcW w:w="52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40" w:type="dxa"/>
            <w:vAlign w:val="bottom"/>
            <w:gridSpan w:val="4"/>
          </w:tcPr>
          <w:p>
            <w:pPr>
              <w:ind w:left="400"/>
              <w:spacing w:after="0"/>
              <w:rPr>
                <w:sz w:val="20"/>
                <w:szCs w:val="20"/>
                <w:color w:val="auto"/>
              </w:rPr>
            </w:pPr>
            <w:r>
              <w:rPr>
                <w:rFonts w:ascii="Arial" w:cs="Arial" w:eastAsia="Arial" w:hAnsi="Arial"/>
                <w:sz w:val="18"/>
                <w:szCs w:val="18"/>
                <w:b w:val="1"/>
                <w:bCs w:val="1"/>
                <w:color w:val="auto"/>
              </w:rPr>
              <w:t>Carrying amount of the</w:t>
            </w: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value used for</w:t>
            </w:r>
          </w:p>
        </w:tc>
      </w:tr>
      <w:tr>
        <w:trPr>
          <w:trHeight w:val="248"/>
        </w:trPr>
        <w:tc>
          <w:tcPr>
            <w:tcW w:w="5240" w:type="dxa"/>
            <w:vAlign w:val="bottom"/>
          </w:tcPr>
          <w:p>
            <w:pPr>
              <w:spacing w:after="0"/>
              <w:rPr>
                <w:sz w:val="21"/>
                <w:szCs w:val="21"/>
                <w:color w:val="auto"/>
              </w:rPr>
            </w:pPr>
          </w:p>
        </w:tc>
        <w:tc>
          <w:tcPr>
            <w:tcW w:w="14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284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hedging instrument</w:t>
            </w: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calculating hedge</w:t>
            </w:r>
          </w:p>
        </w:tc>
      </w:tr>
      <w:tr>
        <w:trPr>
          <w:trHeight w:val="223"/>
        </w:trPr>
        <w:tc>
          <w:tcPr>
            <w:tcW w:w="5240" w:type="dxa"/>
            <w:vAlign w:val="bottom"/>
          </w:tcPr>
          <w:p>
            <w:pPr>
              <w:spacing w:after="0"/>
              <w:rPr>
                <w:sz w:val="19"/>
                <w:szCs w:val="19"/>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5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4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433,500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414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(5,264)</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(490)</w:t>
            </w:r>
          </w:p>
        </w:tc>
      </w:tr>
      <w:tr>
        <w:trPr>
          <w:trHeight w:val="216"/>
        </w:trPr>
        <w:tc>
          <w:tcPr>
            <w:tcW w:w="5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227,353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(13,670)</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11,080</w:t>
            </w:r>
          </w:p>
        </w:tc>
        <w:tc>
          <w:tcPr>
            <w:tcW w:w="100" w:type="dxa"/>
            <w:vAlign w:val="bottom"/>
            <w:shd w:val="clear" w:color="auto" w:fill="CCEEFF"/>
          </w:tcPr>
          <w:p>
            <w:pPr>
              <w:spacing w:after="0"/>
              <w:rPr>
                <w:sz w:val="18"/>
                <w:szCs w:val="18"/>
                <w:color w:val="auto"/>
              </w:rPr>
            </w:pPr>
          </w:p>
        </w:tc>
      </w:tr>
      <w:tr>
        <w:trPr>
          <w:trHeight w:val="216"/>
        </w:trPr>
        <w:tc>
          <w:tcPr>
            <w:tcW w:w="524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457,500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(2,785)</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(968)</w:t>
            </w:r>
          </w:p>
        </w:tc>
      </w:tr>
      <w:tr>
        <w:trPr>
          <w:trHeight w:val="216"/>
        </w:trPr>
        <w:tc>
          <w:tcPr>
            <w:tcW w:w="524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(663)</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(1,542)</w:t>
            </w:r>
          </w:p>
        </w:tc>
      </w:tr>
      <w:tr>
        <w:trPr>
          <w:trHeight w:val="216"/>
        </w:trPr>
        <w:tc>
          <w:tcPr>
            <w:tcW w:w="5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169,988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943</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(3,974)</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(11,640)</w:t>
            </w:r>
          </w:p>
        </w:tc>
      </w:tr>
      <w:tr>
        <w:trPr>
          <w:trHeight w:val="218"/>
        </w:trPr>
        <w:tc>
          <w:tcPr>
            <w:tcW w:w="524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-635</wp:posOffset>
            </wp:positionV>
            <wp:extent cx="6955155" cy="1460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sect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Fair value hedges:</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Cash flow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Net investment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8"/>
        </w:trPr>
        <w:tc>
          <w:tcPr>
            <w:tcW w:w="1340" w:type="dxa"/>
            <w:vAlign w:val="bottom"/>
            <w:gridSpan w:val="3"/>
          </w:tcPr>
          <w:p>
            <w:pPr>
              <w:jc w:val="right"/>
              <w:ind w:right="140"/>
              <w:spacing w:after="0"/>
              <w:rPr>
                <w:sz w:val="20"/>
                <w:szCs w:val="20"/>
                <w:color w:val="auto"/>
              </w:rPr>
            </w:pPr>
            <w:r>
              <w:rPr>
                <w:rFonts w:ascii="Arial" w:cs="Arial" w:eastAsia="Arial" w:hAnsi="Arial"/>
                <w:sz w:val="18"/>
                <w:szCs w:val="18"/>
                <w:color w:val="auto"/>
              </w:rPr>
              <w:t>5,012</w:t>
            </w:r>
          </w:p>
        </w:tc>
        <w:tc>
          <w:tcPr>
            <w:tcW w:w="80" w:type="dxa"/>
            <w:vAlign w:val="bottom"/>
          </w:tcPr>
          <w:p>
            <w:pPr>
              <w:spacing w:after="0"/>
              <w:rPr>
                <w:sz w:val="19"/>
                <w:szCs w:val="19"/>
                <w:color w:val="auto"/>
              </w:rPr>
            </w:pPr>
          </w:p>
        </w:tc>
        <w:tc>
          <w:tcPr>
            <w:tcW w:w="134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340" w:type="dxa"/>
            <w:vAlign w:val="bottom"/>
            <w:gridSpan w:val="3"/>
          </w:tcPr>
          <w:p>
            <w:pPr>
              <w:jc w:val="right"/>
              <w:spacing w:after="0"/>
              <w:rPr>
                <w:sz w:val="20"/>
                <w:szCs w:val="20"/>
                <w:color w:val="auto"/>
              </w:rPr>
            </w:pPr>
            <w:r>
              <w:rPr>
                <w:rFonts w:ascii="Arial" w:cs="Arial" w:eastAsia="Arial" w:hAnsi="Arial"/>
                <w:sz w:val="18"/>
                <w:szCs w:val="18"/>
                <w:color w:val="auto"/>
              </w:rPr>
              <w:t>(38)</w:t>
            </w:r>
          </w:p>
        </w:tc>
        <w:tc>
          <w:tcPr>
            <w:tcW w:w="80" w:type="dxa"/>
            <w:vAlign w:val="bottom"/>
          </w:tcPr>
          <w:p>
            <w:pPr>
              <w:spacing w:after="0"/>
              <w:rPr>
                <w:sz w:val="19"/>
                <w:szCs w:val="19"/>
                <w:color w:val="auto"/>
              </w:rPr>
            </w:pPr>
          </w:p>
        </w:tc>
        <w:tc>
          <w:tcPr>
            <w:tcW w:w="1400" w:type="dxa"/>
            <w:vAlign w:val="bottom"/>
            <w:gridSpan w:val="5"/>
          </w:tcPr>
          <w:p>
            <w:pPr>
              <w:jc w:val="right"/>
              <w:spacing w:after="0"/>
              <w:rPr>
                <w:sz w:val="20"/>
                <w:szCs w:val="20"/>
                <w:color w:val="auto"/>
              </w:rPr>
            </w:pPr>
            <w:r>
              <w:rPr>
                <w:rFonts w:ascii="Arial" w:cs="Arial" w:eastAsia="Arial" w:hAnsi="Arial"/>
                <w:sz w:val="18"/>
                <w:szCs w:val="18"/>
                <w:color w:val="auto"/>
              </w:rPr>
              <w:t>(88)</w:t>
            </w:r>
          </w:p>
        </w:tc>
        <w:tc>
          <w:tcPr>
            <w:tcW w:w="0" w:type="dxa"/>
            <w:vAlign w:val="bottom"/>
          </w:tcPr>
          <w:p>
            <w:pPr>
              <w:spacing w:after="0"/>
              <w:rPr>
                <w:sz w:val="1"/>
                <w:szCs w:val="1"/>
                <w:color w:val="auto"/>
              </w:rPr>
            </w:pPr>
          </w:p>
        </w:tc>
      </w:tr>
      <w:tr>
        <w:trPr>
          <w:trHeight w:val="223"/>
        </w:trPr>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1,316,378</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3,391</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(26,394</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134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(3,648</w:t>
            </w:r>
          </w:p>
        </w:tc>
        <w:tc>
          <w:tcPr>
            <w:tcW w:w="60" w:type="dxa"/>
            <w:vAlign w:val="bottom"/>
            <w:gridSpan w:val="3"/>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1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4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7"/>
          </w:tcPr>
          <w:p>
            <w:pPr>
              <w:jc w:val="center"/>
              <w:spacing w:after="0"/>
              <w:rPr>
                <w:sz w:val="20"/>
                <w:szCs w:val="20"/>
                <w:color w:val="auto"/>
              </w:rPr>
            </w:pPr>
            <w:r>
              <w:rPr>
                <w:rFonts w:ascii="Arial" w:cs="Arial" w:eastAsia="Arial" w:hAnsi="Arial"/>
                <w:sz w:val="18"/>
                <w:szCs w:val="18"/>
                <w:b w:val="1"/>
                <w:bCs w:val="1"/>
                <w:color w:val="auto"/>
                <w:w w:val="90"/>
              </w:rPr>
              <w:t>December 31, 2017</w:t>
            </w:r>
          </w:p>
        </w:tc>
        <w:tc>
          <w:tcPr>
            <w:tcW w:w="1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2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4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60" w:type="dxa"/>
            <w:vAlign w:val="bottom"/>
            <w:gridSpan w:val="4"/>
          </w:tcPr>
          <w:p>
            <w:pPr>
              <w:jc w:val="center"/>
              <w:ind w:right="60"/>
              <w:spacing w:after="0"/>
              <w:rPr>
                <w:sz w:val="20"/>
                <w:szCs w:val="20"/>
                <w:color w:val="auto"/>
              </w:rPr>
            </w:pPr>
            <w:r>
              <w:rPr>
                <w:rFonts w:ascii="Arial" w:cs="Arial" w:eastAsia="Arial" w:hAnsi="Arial"/>
                <w:sz w:val="18"/>
                <w:szCs w:val="18"/>
                <w:b w:val="1"/>
                <w:bCs w:val="1"/>
                <w:color w:val="auto"/>
                <w:w w:val="88"/>
              </w:rPr>
              <w:t>value used for</w:t>
            </w:r>
          </w:p>
        </w:tc>
        <w:tc>
          <w:tcPr>
            <w:tcW w:w="0" w:type="dxa"/>
            <w:vAlign w:val="bottom"/>
          </w:tcPr>
          <w:p>
            <w:pPr>
              <w:spacing w:after="0"/>
              <w:rPr>
                <w:sz w:val="1"/>
                <w:szCs w:val="1"/>
                <w:color w:val="auto"/>
              </w:rPr>
            </w:pPr>
          </w:p>
        </w:tc>
      </w:tr>
      <w:tr>
        <w:trPr>
          <w:trHeight w:val="216"/>
        </w:trPr>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7"/>
          </w:tcPr>
          <w:p>
            <w:pPr>
              <w:jc w:val="center"/>
              <w:spacing w:after="0"/>
              <w:rPr>
                <w:sz w:val="20"/>
                <w:szCs w:val="20"/>
                <w:color w:val="auto"/>
              </w:rPr>
            </w:pPr>
            <w:r>
              <w:rPr>
                <w:rFonts w:ascii="Arial" w:cs="Arial" w:eastAsia="Arial" w:hAnsi="Arial"/>
                <w:sz w:val="18"/>
                <w:szCs w:val="18"/>
                <w:b w:val="1"/>
                <w:bCs w:val="1"/>
                <w:color w:val="auto"/>
                <w:w w:val="91"/>
              </w:rPr>
              <w:t>Carrying amount of the</w:t>
            </w:r>
          </w:p>
        </w:tc>
        <w:tc>
          <w:tcPr>
            <w:tcW w:w="140" w:type="dxa"/>
            <w:vAlign w:val="bottom"/>
          </w:tcPr>
          <w:p>
            <w:pPr>
              <w:spacing w:after="0"/>
              <w:rPr>
                <w:sz w:val="18"/>
                <w:szCs w:val="18"/>
                <w:color w:val="auto"/>
              </w:rPr>
            </w:pPr>
          </w:p>
        </w:tc>
        <w:tc>
          <w:tcPr>
            <w:tcW w:w="1260" w:type="dxa"/>
            <w:vAlign w:val="bottom"/>
            <w:gridSpan w:val="4"/>
          </w:tcPr>
          <w:p>
            <w:pPr>
              <w:jc w:val="center"/>
              <w:ind w:right="60"/>
              <w:spacing w:after="0"/>
              <w:rPr>
                <w:sz w:val="20"/>
                <w:szCs w:val="20"/>
                <w:color w:val="auto"/>
              </w:rPr>
            </w:pPr>
            <w:r>
              <w:rPr>
                <w:rFonts w:ascii="Arial" w:cs="Arial" w:eastAsia="Arial" w:hAnsi="Arial"/>
                <w:sz w:val="18"/>
                <w:szCs w:val="18"/>
                <w:b w:val="1"/>
                <w:bCs w:val="1"/>
                <w:color w:val="auto"/>
                <w:w w:val="89"/>
              </w:rPr>
              <w:t>calculating</w:t>
            </w:r>
          </w:p>
        </w:tc>
        <w:tc>
          <w:tcPr>
            <w:tcW w:w="0" w:type="dxa"/>
            <w:vAlign w:val="bottom"/>
          </w:tcPr>
          <w:p>
            <w:pPr>
              <w:spacing w:after="0"/>
              <w:rPr>
                <w:sz w:val="1"/>
                <w:szCs w:val="1"/>
                <w:color w:val="auto"/>
              </w:rPr>
            </w:pPr>
          </w:p>
        </w:tc>
      </w:tr>
      <w:tr>
        <w:trPr>
          <w:trHeight w:val="248"/>
        </w:trPr>
        <w:tc>
          <w:tcPr>
            <w:tcW w:w="140" w:type="dxa"/>
            <w:vAlign w:val="bottom"/>
          </w:tcPr>
          <w:p>
            <w:pPr>
              <w:spacing w:after="0"/>
              <w:rPr>
                <w:sz w:val="21"/>
                <w:szCs w:val="21"/>
                <w:color w:val="auto"/>
              </w:rPr>
            </w:pPr>
          </w:p>
        </w:tc>
        <w:tc>
          <w:tcPr>
            <w:tcW w:w="1280" w:type="dxa"/>
            <w:vAlign w:val="bottom"/>
            <w:gridSpan w:val="3"/>
          </w:tcPr>
          <w:p>
            <w:pPr>
              <w:jc w:val="right"/>
              <w:ind w:right="340"/>
              <w:spacing w:after="0"/>
              <w:rPr>
                <w:sz w:val="20"/>
                <w:szCs w:val="20"/>
                <w:color w:val="auto"/>
              </w:rPr>
            </w:pPr>
            <w:r>
              <w:rPr>
                <w:rFonts w:ascii="Arial" w:cs="Arial" w:eastAsia="Arial" w:hAnsi="Arial"/>
                <w:sz w:val="18"/>
                <w:szCs w:val="18"/>
                <w:b w:val="1"/>
                <w:bCs w:val="1"/>
                <w:color w:val="auto"/>
              </w:rPr>
              <w:t>Nominal</w:t>
            </w:r>
          </w:p>
        </w:tc>
        <w:tc>
          <w:tcPr>
            <w:tcW w:w="140" w:type="dxa"/>
            <w:vAlign w:val="bottom"/>
          </w:tcPr>
          <w:p>
            <w:pPr>
              <w:spacing w:after="0"/>
              <w:rPr>
                <w:sz w:val="21"/>
                <w:szCs w:val="21"/>
                <w:color w:val="auto"/>
              </w:rPr>
            </w:pPr>
          </w:p>
        </w:tc>
        <w:tc>
          <w:tcPr>
            <w:tcW w:w="2700" w:type="dxa"/>
            <w:vAlign w:val="bottom"/>
            <w:gridSpan w:val="7"/>
          </w:tcPr>
          <w:p>
            <w:pPr>
              <w:jc w:val="center"/>
              <w:spacing w:after="0"/>
              <w:rPr>
                <w:sz w:val="20"/>
                <w:szCs w:val="20"/>
                <w:color w:val="auto"/>
              </w:rPr>
            </w:pPr>
            <w:r>
              <w:rPr>
                <w:rFonts w:ascii="Arial" w:cs="Arial" w:eastAsia="Arial" w:hAnsi="Arial"/>
                <w:sz w:val="18"/>
                <w:szCs w:val="18"/>
                <w:b w:val="1"/>
                <w:bCs w:val="1"/>
                <w:color w:val="auto"/>
                <w:w w:val="89"/>
              </w:rPr>
              <w:t>hedging instrument</w:t>
            </w:r>
          </w:p>
        </w:tc>
        <w:tc>
          <w:tcPr>
            <w:tcW w:w="140" w:type="dxa"/>
            <w:vAlign w:val="bottom"/>
          </w:tcPr>
          <w:p>
            <w:pPr>
              <w:spacing w:after="0"/>
              <w:rPr>
                <w:sz w:val="21"/>
                <w:szCs w:val="21"/>
                <w:color w:val="auto"/>
              </w:rPr>
            </w:pPr>
          </w:p>
        </w:tc>
        <w:tc>
          <w:tcPr>
            <w:tcW w:w="1260" w:type="dxa"/>
            <w:vAlign w:val="bottom"/>
            <w:gridSpan w:val="4"/>
          </w:tcPr>
          <w:p>
            <w:pPr>
              <w:jc w:val="center"/>
              <w:ind w:right="60"/>
              <w:spacing w:after="0"/>
              <w:rPr>
                <w:sz w:val="20"/>
                <w:szCs w:val="20"/>
                <w:color w:val="auto"/>
              </w:rPr>
            </w:pPr>
            <w:r>
              <w:rPr>
                <w:rFonts w:ascii="Arial" w:cs="Arial" w:eastAsia="Arial" w:hAnsi="Arial"/>
                <w:sz w:val="18"/>
                <w:szCs w:val="18"/>
                <w:b w:val="1"/>
                <w:bCs w:val="1"/>
                <w:color w:val="auto"/>
                <w:w w:val="82"/>
              </w:rPr>
              <w:t>hedge</w:t>
            </w:r>
          </w:p>
        </w:tc>
        <w:tc>
          <w:tcPr>
            <w:tcW w:w="0" w:type="dxa"/>
            <w:vAlign w:val="bottom"/>
          </w:tcPr>
          <w:p>
            <w:pPr>
              <w:spacing w:after="0"/>
              <w:rPr>
                <w:sz w:val="1"/>
                <w:szCs w:val="1"/>
                <w:color w:val="auto"/>
              </w:rPr>
            </w:pPr>
          </w:p>
        </w:tc>
      </w:tr>
      <w:tr>
        <w:trPr>
          <w:trHeight w:val="223"/>
        </w:trPr>
        <w:tc>
          <w:tcPr>
            <w:tcW w:w="140" w:type="dxa"/>
            <w:vAlign w:val="bottom"/>
          </w:tcPr>
          <w:p>
            <w:pPr>
              <w:spacing w:after="0"/>
              <w:rPr>
                <w:sz w:val="19"/>
                <w:szCs w:val="19"/>
                <w:color w:val="auto"/>
              </w:rPr>
            </w:pPr>
          </w:p>
        </w:tc>
        <w:tc>
          <w:tcPr>
            <w:tcW w:w="1200" w:type="dxa"/>
            <w:vAlign w:val="bottom"/>
            <w:tcBorders>
              <w:bottom w:val="single" w:sz="8" w:color="auto"/>
            </w:tcBorders>
            <w:gridSpan w:val="2"/>
          </w:tcPr>
          <w:p>
            <w:pPr>
              <w:jc w:val="right"/>
              <w:ind w:right="280"/>
              <w:spacing w:after="0"/>
              <w:rPr>
                <w:sz w:val="20"/>
                <w:szCs w:val="20"/>
                <w:color w:val="auto"/>
              </w:rPr>
            </w:pPr>
            <w:r>
              <w:rPr>
                <w:rFonts w:ascii="Arial" w:cs="Arial" w:eastAsia="Arial" w:hAnsi="Arial"/>
                <w:sz w:val="18"/>
                <w:szCs w:val="18"/>
                <w:b w:val="1"/>
                <w:bCs w:val="1"/>
                <w:color w:val="auto"/>
              </w:rPr>
              <w:t>Amount</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ind w:right="400"/>
              <w:spacing w:after="0"/>
              <w:rPr>
                <w:sz w:val="20"/>
                <w:szCs w:val="20"/>
                <w:color w:val="auto"/>
              </w:rPr>
            </w:pPr>
            <w:r>
              <w:rPr>
                <w:rFonts w:ascii="Arial" w:cs="Arial" w:eastAsia="Arial" w:hAnsi="Arial"/>
                <w:sz w:val="18"/>
                <w:szCs w:val="18"/>
                <w:b w:val="1"/>
                <w:bCs w:val="1"/>
                <w:color w:val="auto"/>
              </w:rPr>
              <w:t>Asset</w:t>
            </w:r>
          </w:p>
        </w:tc>
        <w:tc>
          <w:tcPr>
            <w:tcW w:w="8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gridSpan w:val="2"/>
          </w:tcPr>
          <w:p>
            <w:pPr>
              <w:jc w:val="right"/>
              <w:ind w:right="200"/>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2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40" w:type="dxa"/>
            <w:vAlign w:val="bottom"/>
            <w:gridSpan w:val="2"/>
          </w:tcPr>
          <w:p>
            <w:pPr>
              <w:spacing w:after="0"/>
              <w:rPr>
                <w:sz w:val="19"/>
                <w:szCs w:val="19"/>
                <w:color w:val="auto"/>
              </w:rPr>
            </w:pPr>
          </w:p>
        </w:tc>
        <w:tc>
          <w:tcPr>
            <w:tcW w:w="0" w:type="dxa"/>
            <w:vAlign w:val="bottom"/>
          </w:tcPr>
          <w:p>
            <w:pPr>
              <w:spacing w:after="0"/>
              <w:rPr>
                <w:sz w:val="1"/>
                <w:szCs w:val="1"/>
                <w:color w:val="auto"/>
              </w:rPr>
            </w:pPr>
          </w:p>
        </w:tc>
      </w:tr>
      <w:tr>
        <w:trPr>
          <w:trHeight w:val="411"/>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367,500</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(4,361)</w:t>
            </w:r>
          </w:p>
        </w:tc>
        <w:tc>
          <w:tcPr>
            <w:tcW w:w="1400" w:type="dxa"/>
            <w:vAlign w:val="bottom"/>
            <w:gridSpan w:val="5"/>
          </w:tcPr>
          <w:p>
            <w:pPr>
              <w:jc w:val="right"/>
              <w:spacing w:after="0"/>
              <w:rPr>
                <w:sz w:val="20"/>
                <w:szCs w:val="20"/>
                <w:color w:val="auto"/>
              </w:rPr>
            </w:pPr>
            <w:r>
              <w:rPr>
                <w:rFonts w:ascii="Arial" w:cs="Arial" w:eastAsia="Arial" w:hAnsi="Arial"/>
                <w:sz w:val="18"/>
                <w:szCs w:val="18"/>
                <w:color w:val="auto"/>
              </w:rPr>
              <w:t>(2,394)</w:t>
            </w:r>
          </w:p>
        </w:tc>
        <w:tc>
          <w:tcPr>
            <w:tcW w:w="0" w:type="dxa"/>
            <w:vAlign w:val="bottom"/>
          </w:tcPr>
          <w:p>
            <w:pPr>
              <w:spacing w:after="0"/>
              <w:rPr>
                <w:sz w:val="1"/>
                <w:szCs w:val="1"/>
                <w:color w:val="auto"/>
              </w:rPr>
            </w:pPr>
          </w:p>
        </w:tc>
      </w:tr>
      <w:tr>
        <w:trPr>
          <w:trHeight w:val="230"/>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306,961</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3,672</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(30,154)</w:t>
            </w:r>
          </w:p>
        </w:tc>
        <w:tc>
          <w:tcPr>
            <w:tcW w:w="1380" w:type="dxa"/>
            <w:vAlign w:val="bottom"/>
            <w:gridSpan w:val="4"/>
          </w:tcPr>
          <w:p>
            <w:pPr>
              <w:jc w:val="right"/>
              <w:ind w:right="40"/>
              <w:spacing w:after="0"/>
              <w:rPr>
                <w:sz w:val="20"/>
                <w:szCs w:val="20"/>
                <w:color w:val="auto"/>
              </w:rPr>
            </w:pPr>
            <w:r>
              <w:rPr>
                <w:rFonts w:ascii="Arial" w:cs="Arial" w:eastAsia="Arial" w:hAnsi="Arial"/>
                <w:sz w:val="18"/>
                <w:szCs w:val="18"/>
                <w:color w:val="auto"/>
              </w:rPr>
              <w:t>15,900</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595,000</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127</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(428)</w:t>
            </w:r>
          </w:p>
        </w:tc>
        <w:tc>
          <w:tcPr>
            <w:tcW w:w="1380" w:type="dxa"/>
            <w:vAlign w:val="bottom"/>
            <w:gridSpan w:val="4"/>
          </w:tcPr>
          <w:p>
            <w:pPr>
              <w:jc w:val="right"/>
              <w:ind w:right="40"/>
              <w:spacing w:after="0"/>
              <w:rPr>
                <w:sz w:val="20"/>
                <w:szCs w:val="20"/>
                <w:color w:val="auto"/>
              </w:rPr>
            </w:pPr>
            <w:r>
              <w:rPr>
                <w:rFonts w:ascii="Arial" w:cs="Arial" w:eastAsia="Arial" w:hAnsi="Arial"/>
                <w:sz w:val="18"/>
                <w:szCs w:val="18"/>
                <w:color w:val="auto"/>
              </w:rPr>
              <w:t>995</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23,025</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879</w:t>
            </w:r>
          </w:p>
        </w:tc>
        <w:tc>
          <w:tcPr>
            <w:tcW w:w="13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380" w:type="dxa"/>
            <w:vAlign w:val="bottom"/>
            <w:gridSpan w:val="4"/>
          </w:tcPr>
          <w:p>
            <w:pPr>
              <w:jc w:val="right"/>
              <w:ind w:right="40"/>
              <w:spacing w:after="0"/>
              <w:rPr>
                <w:sz w:val="20"/>
                <w:szCs w:val="20"/>
                <w:color w:val="auto"/>
              </w:rPr>
            </w:pPr>
            <w:r>
              <w:rPr>
                <w:rFonts w:ascii="Arial" w:cs="Arial" w:eastAsia="Arial" w:hAnsi="Arial"/>
                <w:sz w:val="18"/>
                <w:szCs w:val="18"/>
                <w:color w:val="auto"/>
              </w:rPr>
              <w:t>2,132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225,388</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8,610</w:t>
            </w:r>
          </w:p>
        </w:tc>
        <w:tc>
          <w:tcPr>
            <w:tcW w:w="13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0"/>
                <w:szCs w:val="20"/>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11,835</w:t>
            </w: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9,243</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50</w:t>
            </w:r>
          </w:p>
        </w:tc>
        <w:tc>
          <w:tcPr>
            <w:tcW w:w="13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1380" w:type="dxa"/>
            <w:vAlign w:val="bottom"/>
            <w:gridSpan w:val="4"/>
          </w:tcPr>
          <w:p>
            <w:pPr>
              <w:jc w:val="right"/>
              <w:ind w:right="40"/>
              <w:spacing w:after="0"/>
              <w:rPr>
                <w:sz w:val="20"/>
                <w:szCs w:val="20"/>
                <w:color w:val="auto"/>
              </w:rPr>
            </w:pPr>
            <w:r>
              <w:rPr>
                <w:rFonts w:ascii="Arial" w:cs="Arial" w:eastAsia="Arial" w:hAnsi="Arial"/>
                <w:sz w:val="18"/>
                <w:szCs w:val="18"/>
                <w:color w:val="auto"/>
              </w:rPr>
              <w:t>181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1,527,117</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13,338</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(34,943</w:t>
            </w:r>
          </w:p>
        </w:tc>
        <w:tc>
          <w:tcPr>
            <w:tcW w:w="80" w:type="dxa"/>
            <w:vAlign w:val="bottom"/>
            <w:vMerge w:val="continue"/>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tcBorders>
              <w:top w:val="single" w:sz="8" w:color="auto"/>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rPr>
              <w:t>28,649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-3331845</wp:posOffset>
            </wp:positionH>
            <wp:positionV relativeFrom="paragraph">
              <wp:posOffset>-1431290</wp:posOffset>
            </wp:positionV>
            <wp:extent cx="6955155" cy="1460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-1148715</wp:posOffset>
            </wp:positionV>
            <wp:extent cx="6955155" cy="13716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-874395</wp:posOffset>
            </wp:positionV>
            <wp:extent cx="6955155" cy="13716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-599440</wp:posOffset>
            </wp:positionV>
            <wp:extent cx="6955155" cy="13716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-325120</wp:posOffset>
            </wp:positionV>
            <wp:extent cx="6955155" cy="1460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860" w:space="720"/>
            <w:col w:w="5700"/>
          </w:cols>
          <w:pgMar w:left="240" w:top="877" w:right="379" w:bottom="1440" w:gutter="0" w:footer="0" w:header="0"/>
          <w:type w:val="continuous"/>
        </w:sectPr>
      </w:pPr>
    </w:p>
    <w:p>
      <w:pPr>
        <w:spacing w:after="0" w:line="2" w:lineRule="exact"/>
        <w:rPr>
          <w:sz w:val="20"/>
          <w:szCs w:val="20"/>
          <w:color w:val="auto"/>
        </w:rPr>
      </w:pPr>
    </w:p>
    <w:p>
      <w:pPr>
        <w:ind w:left="340" w:right="480"/>
        <w:spacing w:after="0" w:line="308" w:lineRule="auto"/>
        <w:rPr>
          <w:sz w:val="20"/>
          <w:szCs w:val="20"/>
          <w:color w:val="auto"/>
        </w:rPr>
      </w:pPr>
      <w:r>
        <w:rPr>
          <w:rFonts w:ascii="Arial" w:cs="Arial" w:eastAsia="Arial" w:hAnsi="Arial"/>
          <w:sz w:val="17"/>
          <w:szCs w:val="17"/>
          <w:color w:val="auto"/>
        </w:rPr>
        <w:t>The hedging instruments presented in the tables above are in the line item in the statement of financial position at fair value - Derivative financial instruments used for hedging – receivable or at fair value – Derivative financial instruments used for hedging – payable.</w:t>
      </w:r>
    </w:p>
    <w:p>
      <w:pPr>
        <w:spacing w:after="0" w:line="36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877" w:right="37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ectPr>
          <w:pgSz w:w="11900" w:h="16838" w:orient="portrait"/>
          <w:cols w:equalWidth="0" w:num="1">
            <w:col w:w="11400"/>
          </w:cols>
          <w:pgMar w:left="240" w:top="877" w:right="2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220"/>
        <w:spacing w:after="0"/>
        <w:rPr>
          <w:sz w:val="20"/>
          <w:szCs w:val="20"/>
          <w:color w:val="auto"/>
        </w:rPr>
      </w:pPr>
      <w:r>
        <w:rPr>
          <w:rFonts w:ascii="Arial" w:cs="Arial" w:eastAsia="Arial" w:hAnsi="Arial"/>
          <w:sz w:val="18"/>
          <w:szCs w:val="18"/>
          <w:b w:val="1"/>
          <w:bCs w:val="1"/>
          <w:color w:val="auto"/>
        </w:rPr>
        <w:t>Three months ended 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580" w:type="dxa"/>
            <w:vAlign w:val="bottom"/>
            <w:tcBorders>
              <w:top w:val="single" w:sz="8" w:color="auto"/>
            </w:tcBorders>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8"/>
              </w:rPr>
              <w:t>Gain (loss)</w:t>
            </w:r>
          </w:p>
        </w:tc>
        <w:tc>
          <w:tcPr>
            <w:tcW w:w="120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accumulated OCI</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2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to the</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2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94"/>
              </w:rPr>
              <w:t>OCI (effective</w:t>
            </w:r>
          </w:p>
        </w:tc>
        <w:tc>
          <w:tcPr>
            <w:tcW w:w="220" w:type="dxa"/>
            <w:vAlign w:val="bottom"/>
          </w:tcPr>
          <w:p>
            <w:pPr>
              <w:spacing w:after="0"/>
              <w:rPr>
                <w:sz w:val="18"/>
                <w:szCs w:val="18"/>
                <w:color w:val="auto"/>
              </w:rPr>
            </w:pPr>
          </w:p>
        </w:tc>
        <w:tc>
          <w:tcPr>
            <w:tcW w:w="3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5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220" w:type="dxa"/>
            <w:vAlign w:val="bottom"/>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2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60" w:type="dxa"/>
            <w:vAlign w:val="bottom"/>
          </w:tcPr>
          <w:p>
            <w:pPr>
              <w:spacing w:after="0"/>
              <w:rPr>
                <w:sz w:val="20"/>
                <w:szCs w:val="20"/>
                <w:color w:val="auto"/>
              </w:rPr>
            </w:pPr>
          </w:p>
        </w:tc>
      </w:tr>
      <w:tr>
        <w:trPr>
          <w:trHeight w:val="411"/>
        </w:trPr>
        <w:tc>
          <w:tcPr>
            <w:tcW w:w="1200" w:type="dxa"/>
            <w:vAlign w:val="bottom"/>
          </w:tcPr>
          <w:p>
            <w:pPr>
              <w:jc w:val="right"/>
              <w:spacing w:after="0"/>
              <w:rPr>
                <w:sz w:val="20"/>
                <w:szCs w:val="20"/>
                <w:color w:val="auto"/>
              </w:rPr>
            </w:pPr>
            <w:r>
              <w:rPr>
                <w:rFonts w:ascii="Arial" w:cs="Arial" w:eastAsia="Arial" w:hAnsi="Arial"/>
                <w:sz w:val="18"/>
                <w:szCs w:val="18"/>
                <w:color w:val="auto"/>
              </w:rPr>
              <w:t>42</w:t>
            </w: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(3)</w:t>
            </w:r>
          </w:p>
        </w:tc>
      </w:tr>
      <w:tr>
        <w:trPr>
          <w:trHeight w:val="216"/>
        </w:trPr>
        <w:tc>
          <w:tcPr>
            <w:tcW w:w="1200" w:type="dxa"/>
            <w:vAlign w:val="bottom"/>
          </w:tcPr>
          <w:p>
            <w:pPr>
              <w:jc w:val="right"/>
              <w:spacing w:after="0"/>
              <w:rPr>
                <w:sz w:val="20"/>
                <w:szCs w:val="20"/>
                <w:color w:val="auto"/>
              </w:rPr>
            </w:pPr>
            <w:r>
              <w:rPr>
                <w:rFonts w:ascii="Arial" w:cs="Arial" w:eastAsia="Arial" w:hAnsi="Arial"/>
                <w:sz w:val="18"/>
                <w:szCs w:val="18"/>
                <w:color w:val="auto"/>
              </w:rPr>
              <w:t>521</w:t>
            </w: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(11)</w:t>
            </w:r>
          </w:p>
        </w:tc>
      </w:tr>
      <w:tr>
        <w:trPr>
          <w:trHeight w:val="216"/>
        </w:trPr>
        <w:tc>
          <w:tcPr>
            <w:tcW w:w="1200" w:type="dxa"/>
            <w:vAlign w:val="bottom"/>
          </w:tcPr>
          <w:p>
            <w:pPr>
              <w:spacing w:after="0"/>
              <w:rPr>
                <w:sz w:val="18"/>
                <w:szCs w:val="18"/>
                <w:color w:val="auto"/>
              </w:rPr>
            </w:pP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140"/>
              <w:spacing w:after="0"/>
              <w:rPr>
                <w:sz w:val="20"/>
                <w:szCs w:val="20"/>
                <w:color w:val="auto"/>
              </w:rPr>
            </w:pPr>
            <w:r>
              <w:rPr>
                <w:rFonts w:ascii="Arial" w:cs="Arial" w:eastAsia="Arial" w:hAnsi="Arial"/>
                <w:sz w:val="18"/>
                <w:szCs w:val="18"/>
                <w:color w:val="auto"/>
              </w:rPr>
              <w:t>786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16"/>
        </w:trPr>
        <w:tc>
          <w:tcPr>
            <w:tcW w:w="1200" w:type="dxa"/>
            <w:vAlign w:val="bottom"/>
          </w:tcPr>
          <w:p>
            <w:pPr>
              <w:jc w:val="right"/>
              <w:spacing w:after="0"/>
              <w:rPr>
                <w:sz w:val="20"/>
                <w:szCs w:val="20"/>
                <w:color w:val="auto"/>
              </w:rPr>
            </w:pPr>
            <w:r>
              <w:rPr>
                <w:rFonts w:ascii="Arial" w:cs="Arial" w:eastAsia="Arial" w:hAnsi="Arial"/>
                <w:sz w:val="18"/>
                <w:szCs w:val="18"/>
                <w:color w:val="auto"/>
              </w:rPr>
              <w:t>1,913</w:t>
            </w: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Interest expenses – deposits</w:t>
            </w:r>
          </w:p>
        </w:tc>
        <w:tc>
          <w:tcPr>
            <w:tcW w:w="1360" w:type="dxa"/>
            <w:vAlign w:val="bottom"/>
          </w:tcPr>
          <w:p>
            <w:pPr>
              <w:jc w:val="right"/>
              <w:spacing w:after="0"/>
              <w:rPr>
                <w:sz w:val="20"/>
                <w:szCs w:val="20"/>
                <w:color w:val="auto"/>
              </w:rPr>
            </w:pPr>
            <w:r>
              <w:rPr>
                <w:rFonts w:ascii="Arial" w:cs="Arial" w:eastAsia="Arial" w:hAnsi="Arial"/>
                <w:sz w:val="18"/>
                <w:szCs w:val="18"/>
                <w:color w:val="auto"/>
              </w:rPr>
              <w:t>1,135</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3580" w:type="dxa"/>
            <w:vAlign w:val="bottom"/>
            <w:gridSpan w:val="3"/>
          </w:tcPr>
          <w:p>
            <w:pPr>
              <w:ind w:left="220"/>
              <w:spacing w:after="0"/>
              <w:rPr>
                <w:sz w:val="20"/>
                <w:szCs w:val="20"/>
                <w:color w:val="auto"/>
              </w:rPr>
            </w:pPr>
            <w:r>
              <w:rPr>
                <w:rFonts w:ascii="Arial" w:cs="Arial" w:eastAsia="Arial" w:hAnsi="Arial"/>
                <w:sz w:val="18"/>
                <w:szCs w:val="18"/>
                <w:color w:val="auto"/>
              </w:rPr>
              <w:t>Gain (loss) on foreign currency exchange</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(3,948)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1"/>
                <w:szCs w:val="21"/>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2,476</w:t>
            </w:r>
          </w:p>
        </w:tc>
        <w:tc>
          <w:tcPr>
            <w:tcW w:w="22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(2,027</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w:t>
            </w:r>
          </w:p>
        </w:tc>
        <w:tc>
          <w:tcPr>
            <w:tcW w:w="6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42"/>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303</w:t>
            </w:r>
          </w:p>
        </w:tc>
        <w:tc>
          <w:tcPr>
            <w:tcW w:w="220" w:type="dxa"/>
            <w:vAlign w:val="bottom"/>
          </w:tcPr>
          <w:p>
            <w:pPr>
              <w:spacing w:after="0"/>
              <w:rPr>
                <w:sz w:val="24"/>
                <w:szCs w:val="24"/>
                <w:color w:val="auto"/>
              </w:rPr>
            </w:pPr>
          </w:p>
        </w:tc>
        <w:tc>
          <w:tcPr>
            <w:tcW w:w="3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303</w:t>
            </w:r>
          </w:p>
        </w:tc>
        <w:tc>
          <w:tcPr>
            <w:tcW w:w="22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-2087245</wp:posOffset>
            </wp:positionH>
            <wp:positionV relativeFrom="paragraph">
              <wp:posOffset>-1894840</wp:posOffset>
            </wp:positionV>
            <wp:extent cx="6955155" cy="1460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-1611630</wp:posOffset>
            </wp:positionV>
            <wp:extent cx="6955155" cy="13716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-1337310</wp:posOffset>
            </wp:positionV>
            <wp:extent cx="6955155" cy="13716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-1062990</wp:posOffset>
            </wp:positionV>
            <wp:extent cx="6955155" cy="13716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-779780</wp:posOffset>
            </wp:positionV>
            <wp:extent cx="6955155" cy="16319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-462280</wp:posOffset>
            </wp:positionV>
            <wp:extent cx="6955155" cy="13716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-179705</wp:posOffset>
            </wp:positionV>
            <wp:extent cx="6955155" cy="16319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20" w:space="600"/>
            <w:col w:w="7780"/>
          </w:cols>
          <w:pgMar w:left="240" w:top="877" w:right="259" w:bottom="1440" w:gutter="0" w:footer="0" w:header="0"/>
          <w:type w:val="continuous"/>
        </w:sect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877" w:right="25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p>
      <w:pPr>
        <w:ind w:left="5880"/>
        <w:spacing w:after="0"/>
        <w:rPr>
          <w:sz w:val="20"/>
          <w:szCs w:val="20"/>
          <w:color w:val="auto"/>
        </w:rPr>
      </w:pPr>
      <w:r>
        <w:rPr>
          <w:rFonts w:ascii="Arial" w:cs="Arial" w:eastAsia="Arial" w:hAnsi="Arial"/>
          <w:sz w:val="18"/>
          <w:szCs w:val="18"/>
          <w:b w:val="1"/>
          <w:bCs w:val="1"/>
          <w:color w:val="auto"/>
        </w:rPr>
        <w:t>Nine months ended September 30, 2018</w:t>
      </w:r>
    </w:p>
    <w:p>
      <w:pPr>
        <w:spacing w:after="0" w:line="27" w:lineRule="exact"/>
        <w:rPr>
          <w:sz w:val="20"/>
          <w:szCs w:val="20"/>
          <w:color w:val="auto"/>
        </w:rPr>
      </w:pPr>
    </w:p>
    <w:p>
      <w:pPr>
        <w:jc w:val="right"/>
        <w:ind w:right="1760"/>
        <w:spacing w:after="0"/>
        <w:rPr>
          <w:sz w:val="20"/>
          <w:szCs w:val="20"/>
          <w:color w:val="auto"/>
        </w:rPr>
      </w:pPr>
      <w:r>
        <w:rPr>
          <w:rFonts w:ascii="Arial" w:cs="Arial" w:eastAsia="Arial" w:hAnsi="Arial"/>
          <w:sz w:val="18"/>
          <w:szCs w:val="18"/>
          <w:b w:val="1"/>
          <w:bCs w:val="1"/>
          <w:color w:val="auto"/>
        </w:rPr>
        <w:t>Gain (loss)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2303145</wp:posOffset>
            </wp:positionH>
            <wp:positionV relativeFrom="paragraph">
              <wp:posOffset>-130810</wp:posOffset>
            </wp:positionV>
            <wp:extent cx="4793615"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4793615" cy="8890"/>
                    </a:xfrm>
                    <a:prstGeom prst="rect">
                      <a:avLst/>
                    </a:prstGeom>
                    <a:noFill/>
                  </pic:spPr>
                </pic:pic>
              </a:graphicData>
            </a:graphic>
          </wp:anchor>
        </w:drawing>
      </w:r>
    </w:p>
    <w:p>
      <w:pPr>
        <w:sectPr>
          <w:pgSz w:w="11900" w:h="16838" w:orient="portrait"/>
          <w:cols w:equalWidth="0" w:num="1">
            <w:col w:w="11240"/>
          </w:cols>
          <w:pgMar w:left="240" w:top="877" w:right="4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accumulated OCI</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34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to the</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34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34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4"/>
              </w:rPr>
              <w:t>OCI (effective</w:t>
            </w:r>
          </w:p>
        </w:tc>
        <w:tc>
          <w:tcPr>
            <w:tcW w:w="80" w:type="dxa"/>
            <w:vAlign w:val="bottom"/>
          </w:tcPr>
          <w:p>
            <w:pPr>
              <w:spacing w:after="0"/>
              <w:rPr>
                <w:sz w:val="18"/>
                <w:szCs w:val="18"/>
                <w:color w:val="auto"/>
              </w:rPr>
            </w:pPr>
          </w:p>
        </w:tc>
        <w:tc>
          <w:tcPr>
            <w:tcW w:w="3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5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22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2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60" w:type="dxa"/>
            <w:vAlign w:val="bottom"/>
          </w:tcPr>
          <w:p>
            <w:pPr>
              <w:spacing w:after="0"/>
              <w:rPr>
                <w:sz w:val="20"/>
                <w:szCs w:val="20"/>
                <w:color w:val="auto"/>
              </w:rPr>
            </w:pPr>
          </w:p>
        </w:tc>
      </w:tr>
      <w:tr>
        <w:trPr>
          <w:trHeight w:val="411"/>
        </w:trPr>
        <w:tc>
          <w:tcPr>
            <w:tcW w:w="1340" w:type="dxa"/>
            <w:vAlign w:val="bottom"/>
            <w:gridSpan w:val="3"/>
          </w:tcPr>
          <w:p>
            <w:pPr>
              <w:jc w:val="right"/>
              <w:ind w:right="80"/>
              <w:spacing w:after="0"/>
              <w:rPr>
                <w:sz w:val="20"/>
                <w:szCs w:val="20"/>
                <w:color w:val="auto"/>
              </w:rPr>
            </w:pPr>
            <w:r>
              <w:rPr>
                <w:rFonts w:ascii="Arial" w:cs="Arial" w:eastAsia="Arial" w:hAnsi="Arial"/>
                <w:sz w:val="18"/>
                <w:szCs w:val="18"/>
                <w:color w:val="auto"/>
              </w:rPr>
              <w:t>(1,969)</w:t>
            </w: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(3)</w:t>
            </w:r>
          </w:p>
        </w:tc>
      </w:tr>
      <w:tr>
        <w:trPr>
          <w:trHeight w:val="216"/>
        </w:trPr>
        <w:tc>
          <w:tcPr>
            <w:tcW w:w="1200" w:type="dxa"/>
            <w:vAlign w:val="bottom"/>
          </w:tcPr>
          <w:p>
            <w:pPr>
              <w:jc w:val="right"/>
              <w:spacing w:after="0"/>
              <w:rPr>
                <w:sz w:val="20"/>
                <w:szCs w:val="20"/>
                <w:color w:val="auto"/>
              </w:rPr>
            </w:pPr>
            <w:r>
              <w:rPr>
                <w:rFonts w:ascii="Arial" w:cs="Arial" w:eastAsia="Arial" w:hAnsi="Arial"/>
                <w:sz w:val="18"/>
                <w:szCs w:val="18"/>
                <w:color w:val="auto"/>
              </w:rPr>
              <w:t>1,561</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(7)</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360" w:type="dxa"/>
            <w:vAlign w:val="bottom"/>
          </w:tcPr>
          <w:p>
            <w:pPr>
              <w:jc w:val="right"/>
              <w:spacing w:after="0"/>
              <w:rPr>
                <w:sz w:val="20"/>
                <w:szCs w:val="20"/>
                <w:color w:val="auto"/>
              </w:rPr>
            </w:pPr>
            <w:r>
              <w:rPr>
                <w:rFonts w:ascii="Arial" w:cs="Arial" w:eastAsia="Arial" w:hAnsi="Arial"/>
                <w:sz w:val="18"/>
                <w:szCs w:val="18"/>
                <w:color w:val="auto"/>
              </w:rPr>
              <w:t>1,204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16"/>
        </w:trPr>
        <w:tc>
          <w:tcPr>
            <w:tcW w:w="1200" w:type="dxa"/>
            <w:vAlign w:val="bottom"/>
          </w:tcPr>
          <w:p>
            <w:pPr>
              <w:jc w:val="right"/>
              <w:spacing w:after="0"/>
              <w:rPr>
                <w:sz w:val="20"/>
                <w:szCs w:val="20"/>
                <w:color w:val="auto"/>
              </w:rPr>
            </w:pPr>
            <w:r>
              <w:rPr>
                <w:rFonts w:ascii="Arial" w:cs="Arial" w:eastAsia="Arial" w:hAnsi="Arial"/>
                <w:sz w:val="18"/>
                <w:szCs w:val="18"/>
                <w:color w:val="auto"/>
              </w:rPr>
              <w:t>9,212</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360" w:type="dxa"/>
            <w:vAlign w:val="bottom"/>
          </w:tcPr>
          <w:p>
            <w:pPr>
              <w:jc w:val="right"/>
              <w:spacing w:after="0"/>
              <w:rPr>
                <w:sz w:val="20"/>
                <w:szCs w:val="20"/>
                <w:color w:val="auto"/>
              </w:rPr>
            </w:pPr>
            <w:r>
              <w:rPr>
                <w:rFonts w:ascii="Arial" w:cs="Arial" w:eastAsia="Arial" w:hAnsi="Arial"/>
                <w:sz w:val="18"/>
                <w:szCs w:val="18"/>
                <w:color w:val="auto"/>
              </w:rPr>
              <w:t>3,362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 exchange</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(6,125)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1"/>
                <w:szCs w:val="21"/>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8,804</w:t>
            </w:r>
          </w:p>
        </w:tc>
        <w:tc>
          <w:tcPr>
            <w:tcW w:w="20" w:type="dxa"/>
            <w:vAlign w:val="bottom"/>
            <w:tcBorders>
              <w:top w:val="single" w:sz="8" w:color="auto"/>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(1,559</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w:t>
            </w:r>
          </w:p>
        </w:tc>
        <w:tc>
          <w:tcPr>
            <w:tcW w:w="6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220" w:type="dxa"/>
            <w:vAlign w:val="bottom"/>
            <w:tcBorders>
              <w:bottom w:val="single" w:sz="8" w:color="auto"/>
            </w:tcBorders>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42"/>
        </w:trPr>
        <w:tc>
          <w:tcPr>
            <w:tcW w:w="1340" w:type="dxa"/>
            <w:vAlign w:val="bottom"/>
            <w:gridSpan w:val="3"/>
          </w:tcPr>
          <w:p>
            <w:pPr>
              <w:jc w:val="right"/>
              <w:ind w:right="80"/>
              <w:spacing w:after="0"/>
              <w:rPr>
                <w:sz w:val="20"/>
                <w:szCs w:val="20"/>
                <w:color w:val="auto"/>
              </w:rPr>
            </w:pPr>
            <w:r>
              <w:rPr>
                <w:rFonts w:ascii="Arial" w:cs="Arial" w:eastAsia="Arial" w:hAnsi="Arial"/>
                <w:sz w:val="18"/>
                <w:szCs w:val="18"/>
                <w:color w:val="auto"/>
              </w:rPr>
              <w:t>(1,222)</w:t>
            </w:r>
          </w:p>
        </w:tc>
        <w:tc>
          <w:tcPr>
            <w:tcW w:w="80" w:type="dxa"/>
            <w:vAlign w:val="bottom"/>
          </w:tcPr>
          <w:p>
            <w:pPr>
              <w:spacing w:after="0"/>
              <w:rPr>
                <w:sz w:val="24"/>
                <w:szCs w:val="24"/>
                <w:color w:val="auto"/>
              </w:rPr>
            </w:pPr>
          </w:p>
        </w:tc>
        <w:tc>
          <w:tcPr>
            <w:tcW w:w="3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(1,222</w:t>
            </w:r>
          </w:p>
        </w:tc>
        <w:tc>
          <w:tcPr>
            <w:tcW w:w="1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-2087245</wp:posOffset>
            </wp:positionH>
            <wp:positionV relativeFrom="paragraph">
              <wp:posOffset>-1894840</wp:posOffset>
            </wp:positionV>
            <wp:extent cx="6955155" cy="1460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-1611630</wp:posOffset>
            </wp:positionV>
            <wp:extent cx="6955155" cy="13716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-1337310</wp:posOffset>
            </wp:positionV>
            <wp:extent cx="6955155" cy="13716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-1062990</wp:posOffset>
            </wp:positionV>
            <wp:extent cx="6955155" cy="13716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-779780</wp:posOffset>
            </wp:positionV>
            <wp:extent cx="6955155" cy="16319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-462280</wp:posOffset>
            </wp:positionV>
            <wp:extent cx="6955155" cy="13716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-179705</wp:posOffset>
            </wp:positionV>
            <wp:extent cx="6955155" cy="16319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20" w:space="600"/>
            <w:col w:w="7620"/>
          </w:cols>
          <w:pgMar w:left="240" w:top="877" w:right="419" w:bottom="1440" w:gutter="0" w:footer="0" w:header="0"/>
          <w:type w:val="continuous"/>
        </w:sect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6"/>
          <w:szCs w:val="16"/>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40"/>
          </w:cols>
          <w:pgMar w:left="240" w:top="877" w:right="419" w:bottom="1440" w:gutter="0" w:footer="0" w:header="0"/>
          <w:type w:val="continuous"/>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2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4940" w:type="dxa"/>
            <w:vAlign w:val="bottom"/>
            <w:tcBorders>
              <w:bottom w:val="single" w:sz="8" w:color="auto"/>
            </w:tcBorders>
            <w:gridSpan w:val="4"/>
          </w:tcPr>
          <w:p>
            <w:pPr>
              <w:ind w:left="800"/>
              <w:spacing w:after="0"/>
              <w:rPr>
                <w:sz w:val="20"/>
                <w:szCs w:val="20"/>
                <w:color w:val="auto"/>
              </w:rPr>
            </w:pPr>
            <w:r>
              <w:rPr>
                <w:rFonts w:ascii="Arial" w:cs="Arial" w:eastAsia="Arial" w:hAnsi="Arial"/>
                <w:sz w:val="18"/>
                <w:szCs w:val="18"/>
                <w:b w:val="1"/>
                <w:bCs w:val="1"/>
                <w:color w:val="auto"/>
              </w:rPr>
              <w:t>Three months ended September 30,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2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8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accumulated OCI</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Gain (loss)</w:t>
            </w:r>
          </w:p>
        </w:tc>
        <w:tc>
          <w:tcPr>
            <w:tcW w:w="1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to the</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recognized on</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c>
          <w:tcPr>
            <w:tcW w:w="1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4"/>
              </w:rPr>
              <w:t>OCI (effective</w:t>
            </w:r>
          </w:p>
        </w:tc>
        <w:tc>
          <w:tcPr>
            <w:tcW w:w="100" w:type="dxa"/>
            <w:vAlign w:val="bottom"/>
          </w:tcPr>
          <w:p>
            <w:pPr>
              <w:spacing w:after="0"/>
              <w:rPr>
                <w:sz w:val="18"/>
                <w:szCs w:val="18"/>
                <w:color w:val="auto"/>
              </w:rPr>
            </w:pPr>
          </w:p>
        </w:tc>
        <w:tc>
          <w:tcPr>
            <w:tcW w:w="3360" w:type="dxa"/>
            <w:vAlign w:val="bottom"/>
            <w:gridSpan w:val="2"/>
          </w:tcPr>
          <w:p>
            <w:pPr>
              <w:ind w:left="820"/>
              <w:spacing w:after="0"/>
              <w:rPr>
                <w:sz w:val="20"/>
                <w:szCs w:val="20"/>
                <w:color w:val="auto"/>
              </w:rPr>
            </w:pPr>
            <w:r>
              <w:rPr>
                <w:rFonts w:ascii="Arial" w:cs="Arial" w:eastAsia="Arial" w:hAnsi="Arial"/>
                <w:sz w:val="18"/>
                <w:szCs w:val="18"/>
                <w:b w:val="1"/>
                <w:bCs w:val="1"/>
                <w:color w:val="auto"/>
              </w:rPr>
              <w:t>Classification of gain</w:t>
            </w:r>
          </w:p>
        </w:tc>
        <w:tc>
          <w:tcPr>
            <w:tcW w:w="15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280" w:type="dxa"/>
            <w:vAlign w:val="bottom"/>
          </w:tcPr>
          <w:p>
            <w:pPr>
              <w:spacing w:after="0"/>
              <w:rPr>
                <w:sz w:val="20"/>
                <w:szCs w:val="20"/>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portion)</w:t>
            </w:r>
          </w:p>
        </w:tc>
        <w:tc>
          <w:tcPr>
            <w:tcW w:w="100" w:type="dxa"/>
            <w:vAlign w:val="bottom"/>
          </w:tcPr>
          <w:p>
            <w:pPr>
              <w:spacing w:after="0"/>
              <w:rPr>
                <w:sz w:val="20"/>
                <w:szCs w:val="20"/>
                <w:color w:val="auto"/>
              </w:rPr>
            </w:pPr>
          </w:p>
        </w:tc>
        <w:tc>
          <w:tcPr>
            <w:tcW w:w="3360" w:type="dxa"/>
            <w:vAlign w:val="bottom"/>
            <w:gridSpan w:val="2"/>
          </w:tcPr>
          <w:p>
            <w:pPr>
              <w:ind w:left="1420"/>
              <w:spacing w:after="0"/>
              <w:rPr>
                <w:sz w:val="20"/>
                <w:szCs w:val="20"/>
                <w:color w:val="auto"/>
              </w:rPr>
            </w:pPr>
            <w:r>
              <w:rPr>
                <w:rFonts w:ascii="Arial" w:cs="Arial" w:eastAsia="Arial" w:hAnsi="Arial"/>
                <w:sz w:val="18"/>
                <w:szCs w:val="18"/>
                <w:b w:val="1"/>
                <w:bCs w:val="1"/>
                <w:color w:val="auto"/>
              </w:rPr>
              <w:t>(loss)</w:t>
            </w:r>
          </w:p>
        </w:tc>
        <w:tc>
          <w:tcPr>
            <w:tcW w:w="15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profit or loss</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cash flow hedge</w:t>
            </w:r>
          </w:p>
        </w:tc>
        <w:tc>
          <w:tcPr>
            <w:tcW w:w="12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2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20"/>
                <w:szCs w:val="20"/>
                <w:color w:val="auto"/>
              </w:rPr>
            </w:pPr>
            <w:r>
              <w:rPr>
                <w:rFonts w:ascii="Arial" w:cs="Arial" w:eastAsia="Arial" w:hAnsi="Arial"/>
                <w:sz w:val="18"/>
                <w:szCs w:val="18"/>
                <w:color w:val="auto"/>
              </w:rPr>
              <w:t>Interest rate swaps</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145</w:t>
            </w:r>
          </w:p>
        </w:tc>
        <w:tc>
          <w:tcPr>
            <w:tcW w:w="3460" w:type="dxa"/>
            <w:vAlign w:val="bottom"/>
            <w:gridSpan w:val="3"/>
          </w:tcPr>
          <w:p>
            <w:pPr>
              <w:ind w:left="100"/>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(122)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364</w:t>
            </w:r>
          </w:p>
        </w:tc>
        <w:tc>
          <w:tcPr>
            <w:tcW w:w="34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60" w:type="dxa"/>
            <w:vAlign w:val="bottom"/>
            <w:gridSpan w:val="3"/>
          </w:tcPr>
          <w:p>
            <w:pPr>
              <w:ind w:left="10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(2,068)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3,752</w:t>
            </w:r>
          </w:p>
        </w:tc>
        <w:tc>
          <w:tcPr>
            <w:tcW w:w="120" w:type="dxa"/>
            <w:vAlign w:val="bottom"/>
            <w:shd w:val="clear" w:color="auto" w:fill="CCEEFF"/>
          </w:tcPr>
          <w:p>
            <w:pPr>
              <w:spacing w:after="0"/>
              <w:rPr>
                <w:sz w:val="18"/>
                <w:szCs w:val="18"/>
                <w:color w:val="auto"/>
              </w:rPr>
            </w:pPr>
          </w:p>
        </w:tc>
        <w:tc>
          <w:tcPr>
            <w:tcW w:w="34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60" w:type="dxa"/>
            <w:vAlign w:val="bottom"/>
            <w:gridSpan w:val="3"/>
          </w:tcPr>
          <w:p>
            <w:pPr>
              <w:ind w:left="100"/>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(1,444)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46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2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460" w:type="dxa"/>
            <w:vAlign w:val="bottom"/>
            <w:gridSpan w:val="3"/>
          </w:tcPr>
          <w:p>
            <w:pPr>
              <w:ind w:left="100"/>
              <w:spacing w:after="0"/>
              <w:rPr>
                <w:sz w:val="20"/>
                <w:szCs w:val="20"/>
                <w:color w:val="auto"/>
              </w:rPr>
            </w:pPr>
            <w:r>
              <w:rPr>
                <w:rFonts w:ascii="Arial" w:cs="Arial" w:eastAsia="Arial" w:hAnsi="Arial"/>
                <w:sz w:val="18"/>
                <w:szCs w:val="18"/>
                <w:color w:val="auto"/>
              </w:rPr>
              <w:t>Gain (loss) on foreign currency exchange</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(1,074)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2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4,261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(4,586</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2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340" w:type="dxa"/>
            <w:vAlign w:val="bottom"/>
            <w:gridSpan w:val="2"/>
            <w:vMerge w:val="restart"/>
          </w:tcPr>
          <w:p>
            <w:pPr>
              <w:jc w:val="right"/>
              <w:ind w:right="2390"/>
              <w:spacing w:after="0"/>
              <w:rPr>
                <w:sz w:val="20"/>
                <w:szCs w:val="20"/>
                <w:color w:val="auto"/>
              </w:rPr>
            </w:pPr>
            <w:r>
              <w:rPr>
                <w:rFonts w:ascii="Arial" w:cs="Arial" w:eastAsia="Arial" w:hAnsi="Arial"/>
                <w:sz w:val="18"/>
                <w:szCs w:val="18"/>
                <w:color w:val="auto"/>
              </w:rPr>
              <w:t>31</w:t>
            </w: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340" w:type="dxa"/>
            <w:vAlign w:val="bottom"/>
            <w:tcBorders>
              <w:bottom w:val="single" w:sz="8" w:color="auto"/>
            </w:tcBorders>
            <w:gridSpan w:val="2"/>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p>
      <w:pPr>
        <w:ind w:left="5900"/>
        <w:spacing w:after="0"/>
        <w:rPr>
          <w:sz w:val="20"/>
          <w:szCs w:val="20"/>
          <w:color w:val="auto"/>
        </w:rPr>
      </w:pPr>
      <w:r>
        <w:rPr>
          <w:rFonts w:ascii="Arial" w:cs="Arial" w:eastAsia="Arial" w:hAnsi="Arial"/>
          <w:sz w:val="18"/>
          <w:szCs w:val="18"/>
          <w:b w:val="1"/>
          <w:bCs w:val="1"/>
          <w:color w:val="auto"/>
        </w:rPr>
        <w:t>Nine months ended September 30, 2017</w:t>
      </w:r>
    </w:p>
    <w:p>
      <w:pPr>
        <w:spacing w:after="0" w:line="27" w:lineRule="exact"/>
        <w:rPr>
          <w:sz w:val="20"/>
          <w:szCs w:val="20"/>
          <w:color w:val="auto"/>
        </w:rPr>
      </w:pPr>
    </w:p>
    <w:p>
      <w:pPr>
        <w:jc w:val="right"/>
        <w:ind w:right="1700"/>
        <w:spacing w:after="0"/>
        <w:rPr>
          <w:sz w:val="20"/>
          <w:szCs w:val="20"/>
          <w:color w:val="auto"/>
        </w:rPr>
      </w:pPr>
      <w:r>
        <w:rPr>
          <w:rFonts w:ascii="Arial" w:cs="Arial" w:eastAsia="Arial" w:hAnsi="Arial"/>
          <w:sz w:val="18"/>
          <w:szCs w:val="18"/>
          <w:b w:val="1"/>
          <w:bCs w:val="1"/>
          <w:color w:val="auto"/>
        </w:rPr>
        <w:t>Gain (loss)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2312035</wp:posOffset>
            </wp:positionH>
            <wp:positionV relativeFrom="paragraph">
              <wp:posOffset>-130810</wp:posOffset>
            </wp:positionV>
            <wp:extent cx="478536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4785360" cy="8890"/>
                    </a:xfrm>
                    <a:prstGeom prst="rect">
                      <a:avLst/>
                    </a:prstGeom>
                    <a:noFill/>
                  </pic:spPr>
                </pic:pic>
              </a:graphicData>
            </a:graphic>
          </wp:anchor>
        </w:drawing>
      </w:r>
    </w:p>
    <w:p>
      <w:pPr>
        <w:sectPr>
          <w:pgSz w:w="11900" w:h="16838" w:orient="portrait"/>
          <w:cols w:equalWidth="0" w:num="1">
            <w:col w:w="11180"/>
          </w:cols>
          <w:pgMar w:left="240" w:top="877" w:right="4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Arial" w:cs="Arial" w:eastAsia="Arial" w:hAnsi="Arial"/>
          <w:sz w:val="15"/>
          <w:szCs w:val="15"/>
          <w:b w:val="1"/>
          <w:bCs w:val="1"/>
          <w:color w:val="auto"/>
        </w:rPr>
        <w:t>Derivatives – cash flow hedge</w:t>
      </w:r>
    </w:p>
    <w:p>
      <w:pPr>
        <w:spacing w:after="0" w:line="6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accumulated OCI</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Gain (loss)</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to the</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recognized in</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w:t>
            </w:r>
          </w:p>
        </w:tc>
        <w:tc>
          <w:tcPr>
            <w:tcW w:w="12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OCI (effective</w:t>
            </w:r>
          </w:p>
        </w:tc>
        <w:tc>
          <w:tcPr>
            <w:tcW w:w="3340" w:type="dxa"/>
            <w:vAlign w:val="bottom"/>
            <w:gridSpan w:val="2"/>
          </w:tcPr>
          <w:p>
            <w:pPr>
              <w:ind w:left="1000"/>
              <w:spacing w:after="0"/>
              <w:rPr>
                <w:sz w:val="20"/>
                <w:szCs w:val="20"/>
                <w:color w:val="auto"/>
              </w:rPr>
            </w:pPr>
            <w:r>
              <w:rPr>
                <w:rFonts w:ascii="Arial" w:cs="Arial" w:eastAsia="Arial" w:hAnsi="Arial"/>
                <w:sz w:val="18"/>
                <w:szCs w:val="18"/>
                <w:b w:val="1"/>
                <w:bCs w:val="1"/>
                <w:color w:val="auto"/>
              </w:rPr>
              <w:t>Classification of</w:t>
            </w:r>
          </w:p>
        </w:tc>
        <w:tc>
          <w:tcPr>
            <w:tcW w:w="15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statement of</w:t>
            </w:r>
          </w:p>
        </w:tc>
        <w:tc>
          <w:tcPr>
            <w:tcW w:w="12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220" w:type="dxa"/>
            <w:vAlign w:val="bottom"/>
          </w:tcPr>
          <w:p>
            <w:pPr>
              <w:spacing w:after="0"/>
              <w:rPr>
                <w:sz w:val="20"/>
                <w:szCs w:val="20"/>
                <w:color w:val="auto"/>
              </w:rPr>
            </w:pPr>
          </w:p>
        </w:tc>
        <w:tc>
          <w:tcPr>
            <w:tcW w:w="3220" w:type="dxa"/>
            <w:vAlign w:val="bottom"/>
            <w:tcBorders>
              <w:bottom w:val="single" w:sz="8" w:color="auto"/>
            </w:tcBorders>
          </w:tcPr>
          <w:p>
            <w:pPr>
              <w:ind w:left="1220"/>
              <w:spacing w:after="0"/>
              <w:rPr>
                <w:sz w:val="20"/>
                <w:szCs w:val="20"/>
                <w:color w:val="auto"/>
              </w:rPr>
            </w:pPr>
            <w:r>
              <w:rPr>
                <w:rFonts w:ascii="Arial" w:cs="Arial" w:eastAsia="Arial" w:hAnsi="Arial"/>
                <w:sz w:val="18"/>
                <w:szCs w:val="18"/>
                <w:b w:val="1"/>
                <w:bCs w:val="1"/>
                <w:color w:val="auto"/>
              </w:rPr>
              <w:t>gain (loss)</w:t>
            </w:r>
          </w:p>
        </w:tc>
        <w:tc>
          <w:tcPr>
            <w:tcW w:w="12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20" w:type="dxa"/>
            <w:vAlign w:val="bottom"/>
          </w:tcPr>
          <w:p>
            <w:pPr>
              <w:spacing w:after="0"/>
              <w:rPr>
                <w:sz w:val="20"/>
                <w:szCs w:val="20"/>
                <w:color w:val="auto"/>
              </w:rPr>
            </w:pPr>
          </w:p>
        </w:tc>
      </w:tr>
      <w:tr>
        <w:trPr>
          <w:trHeight w:val="411"/>
        </w:trPr>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(669)</w:t>
            </w: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162</w:t>
            </w:r>
          </w:p>
        </w:tc>
      </w:tr>
      <w:tr>
        <w:trPr>
          <w:trHeight w:val="216"/>
        </w:trPr>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(968)</w:t>
            </w: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foreign exchange</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23</w:t>
            </w:r>
          </w:p>
        </w:tc>
        <w:tc>
          <w:tcPr>
            <w:tcW w:w="2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1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2,622</w:t>
            </w: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(2,355)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(4,276)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foreign currency exchange</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(19,649)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1"/>
                <w:szCs w:val="21"/>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985</w:t>
            </w:r>
          </w:p>
        </w:tc>
        <w:tc>
          <w:tcPr>
            <w:tcW w:w="220" w:type="dxa"/>
            <w:vAlign w:val="bottom"/>
          </w:tcPr>
          <w:p>
            <w:pPr>
              <w:spacing w:after="0"/>
              <w:rPr>
                <w:sz w:val="19"/>
                <w:szCs w:val="19"/>
                <w:color w:val="auto"/>
              </w:rPr>
            </w:pPr>
          </w:p>
        </w:tc>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(26,280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w:t>
            </w:r>
          </w:p>
        </w:tc>
        <w:tc>
          <w:tcPr>
            <w:tcW w:w="20" w:type="dxa"/>
            <w:vAlign w:val="bottom"/>
            <w:tcBorders>
              <w:bottom w:val="single" w:sz="8" w:color="auto"/>
            </w:tcBorders>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-2099945</wp:posOffset>
            </wp:positionH>
            <wp:positionV relativeFrom="paragraph">
              <wp:posOffset>-1294130</wp:posOffset>
            </wp:positionV>
            <wp:extent cx="6955155" cy="1460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-1011555</wp:posOffset>
            </wp:positionV>
            <wp:extent cx="6955155" cy="13716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-736600</wp:posOffset>
            </wp:positionV>
            <wp:extent cx="6955155" cy="13716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-462280</wp:posOffset>
            </wp:positionV>
            <wp:extent cx="6955155" cy="13716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-179705</wp:posOffset>
            </wp:positionV>
            <wp:extent cx="6955155" cy="16319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920" w:space="720"/>
            <w:col w:w="7540"/>
          </w:cols>
          <w:pgMar w:left="240" w:top="877" w:right="479" w:bottom="1440" w:gutter="0" w:footer="0" w:header="0"/>
          <w:type w:val="continuous"/>
        </w:sectPr>
      </w:pPr>
    </w:p>
    <w:p>
      <w:pPr>
        <w:spacing w:after="0" w:line="218" w:lineRule="exact"/>
        <w:rPr>
          <w:sz w:val="20"/>
          <w:szCs w:val="20"/>
          <w:color w:val="auto"/>
        </w:rPr>
      </w:pPr>
    </w:p>
    <w:p>
      <w:pPr>
        <w:jc w:val="center"/>
        <w:ind w:right="-239"/>
        <w:spacing w:after="0"/>
        <w:rPr>
          <w:sz w:val="20"/>
          <w:szCs w:val="20"/>
          <w:color w:val="auto"/>
        </w:rPr>
      </w:pPr>
      <w:r>
        <w:rPr>
          <w:rFonts w:ascii="Arial" w:cs="Arial" w:eastAsia="Arial" w:hAnsi="Arial"/>
          <w:sz w:val="16"/>
          <w:szCs w:val="16"/>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80"/>
          </w:cols>
          <w:pgMar w:left="240" w:top="877" w:right="479" w:bottom="1440" w:gutter="0" w:footer="0" w:header="0"/>
          <w:type w:val="continuous"/>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p>
      <w:pPr>
        <w:ind w:left="5840"/>
        <w:spacing w:after="0"/>
        <w:rPr>
          <w:sz w:val="20"/>
          <w:szCs w:val="20"/>
          <w:color w:val="auto"/>
        </w:rPr>
      </w:pPr>
      <w:r>
        <w:rPr>
          <w:rFonts w:ascii="Arial" w:cs="Arial" w:eastAsia="Arial" w:hAnsi="Arial"/>
          <w:sz w:val="18"/>
          <w:szCs w:val="18"/>
          <w:b w:val="1"/>
          <w:bCs w:val="1"/>
          <w:color w:val="auto"/>
        </w:rPr>
        <w:t>Three months ended September 30, 2016</w:t>
      </w:r>
    </w:p>
    <w:p>
      <w:pPr>
        <w:spacing w:after="0" w:line="27" w:lineRule="exact"/>
        <w:rPr>
          <w:sz w:val="20"/>
          <w:szCs w:val="20"/>
          <w:color w:val="auto"/>
        </w:rPr>
      </w:pPr>
    </w:p>
    <w:p>
      <w:pPr>
        <w:jc w:val="right"/>
        <w:ind w:right="1760"/>
        <w:spacing w:after="0"/>
        <w:rPr>
          <w:sz w:val="20"/>
          <w:szCs w:val="20"/>
          <w:color w:val="auto"/>
        </w:rPr>
      </w:pPr>
      <w:r>
        <w:rPr>
          <w:rFonts w:ascii="Arial" w:cs="Arial" w:eastAsia="Arial" w:hAnsi="Arial"/>
          <w:sz w:val="18"/>
          <w:szCs w:val="18"/>
          <w:b w:val="1"/>
          <w:bCs w:val="1"/>
          <w:color w:val="auto"/>
        </w:rPr>
        <w:t>Gain (loss)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2312035</wp:posOffset>
            </wp:positionH>
            <wp:positionV relativeFrom="paragraph">
              <wp:posOffset>-130810</wp:posOffset>
            </wp:positionV>
            <wp:extent cx="478536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4785360" cy="8890"/>
                    </a:xfrm>
                    <a:prstGeom prst="rect">
                      <a:avLst/>
                    </a:prstGeom>
                    <a:noFill/>
                  </pic:spPr>
                </pic:pic>
              </a:graphicData>
            </a:graphic>
          </wp:anchor>
        </w:drawing>
      </w:r>
    </w:p>
    <w:p>
      <w:pPr>
        <w:sectPr>
          <w:pgSz w:w="11900" w:h="16838" w:orient="portrait"/>
          <w:cols w:equalWidth="0" w:num="1">
            <w:col w:w="11240"/>
          </w:cols>
          <w:pgMar w:left="240" w:top="877" w:right="4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Arial" w:cs="Arial" w:eastAsia="Arial" w:hAnsi="Arial"/>
          <w:sz w:val="15"/>
          <w:szCs w:val="15"/>
          <w:b w:val="1"/>
          <w:bCs w:val="1"/>
          <w:color w:val="auto"/>
        </w:rPr>
        <w:t>Derivatives – cash flow hedge</w:t>
      </w:r>
    </w:p>
    <w:p>
      <w:pPr>
        <w:spacing w:after="0" w:line="6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accumulated OCI</w:t>
            </w:r>
          </w:p>
        </w:tc>
        <w:tc>
          <w:tcPr>
            <w:tcW w:w="12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Gain (loss)</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to the</w:t>
            </w:r>
          </w:p>
        </w:tc>
        <w:tc>
          <w:tcPr>
            <w:tcW w:w="12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recognized in</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OCI (effective</w:t>
            </w:r>
          </w:p>
        </w:tc>
        <w:tc>
          <w:tcPr>
            <w:tcW w:w="3340" w:type="dxa"/>
            <w:vAlign w:val="bottom"/>
            <w:gridSpan w:val="2"/>
          </w:tcPr>
          <w:p>
            <w:pPr>
              <w:ind w:left="1000"/>
              <w:spacing w:after="0"/>
              <w:rPr>
                <w:sz w:val="20"/>
                <w:szCs w:val="20"/>
                <w:color w:val="auto"/>
              </w:rPr>
            </w:pPr>
            <w:r>
              <w:rPr>
                <w:rFonts w:ascii="Arial" w:cs="Arial" w:eastAsia="Arial" w:hAnsi="Arial"/>
                <w:sz w:val="18"/>
                <w:szCs w:val="18"/>
                <w:b w:val="1"/>
                <w:bCs w:val="1"/>
                <w:color w:val="auto"/>
              </w:rPr>
              <w:t>Classification of</w:t>
            </w:r>
          </w:p>
        </w:tc>
        <w:tc>
          <w:tcPr>
            <w:tcW w:w="15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220" w:type="dxa"/>
            <w:vAlign w:val="bottom"/>
          </w:tcPr>
          <w:p>
            <w:pPr>
              <w:spacing w:after="0"/>
              <w:rPr>
                <w:sz w:val="20"/>
                <w:szCs w:val="20"/>
                <w:color w:val="auto"/>
              </w:rPr>
            </w:pPr>
          </w:p>
        </w:tc>
        <w:tc>
          <w:tcPr>
            <w:tcW w:w="3220" w:type="dxa"/>
            <w:vAlign w:val="bottom"/>
            <w:tcBorders>
              <w:bottom w:val="single" w:sz="8" w:color="auto"/>
            </w:tcBorders>
          </w:tcPr>
          <w:p>
            <w:pPr>
              <w:ind w:left="1220"/>
              <w:spacing w:after="0"/>
              <w:rPr>
                <w:sz w:val="20"/>
                <w:szCs w:val="20"/>
                <w:color w:val="auto"/>
              </w:rPr>
            </w:pPr>
            <w:r>
              <w:rPr>
                <w:rFonts w:ascii="Arial" w:cs="Arial" w:eastAsia="Arial" w:hAnsi="Arial"/>
                <w:sz w:val="18"/>
                <w:szCs w:val="18"/>
                <w:b w:val="1"/>
                <w:bCs w:val="1"/>
                <w:color w:val="auto"/>
              </w:rPr>
              <w:t>gain (loss)</w:t>
            </w:r>
          </w:p>
        </w:tc>
        <w:tc>
          <w:tcPr>
            <w:tcW w:w="12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60" w:type="dxa"/>
            <w:vAlign w:val="bottom"/>
            <w:gridSpan w:val="2"/>
          </w:tcPr>
          <w:p>
            <w:pPr>
              <w:spacing w:after="0"/>
              <w:rPr>
                <w:sz w:val="20"/>
                <w:szCs w:val="20"/>
                <w:color w:val="auto"/>
              </w:rPr>
            </w:pPr>
          </w:p>
        </w:tc>
      </w:tr>
      <w:tr>
        <w:trPr>
          <w:trHeight w:val="411"/>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784</w:t>
            </w: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(265)</w:t>
            </w:r>
          </w:p>
        </w:tc>
      </w:tr>
      <w:tr>
        <w:trPr>
          <w:trHeight w:val="216"/>
        </w:trPr>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(1,776)</w:t>
            </w: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foreign exchange</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(86)</w:t>
            </w: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(1,371)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6,517</w:t>
            </w: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2"/>
          </w:tcPr>
          <w:p>
            <w:pPr>
              <w:jc w:val="right"/>
              <w:ind w:right="140"/>
              <w:spacing w:after="0"/>
              <w:rPr>
                <w:sz w:val="20"/>
                <w:szCs w:val="20"/>
                <w:color w:val="auto"/>
              </w:rPr>
            </w:pPr>
            <w:r>
              <w:rPr>
                <w:rFonts w:ascii="Arial" w:cs="Arial" w:eastAsia="Arial" w:hAnsi="Arial"/>
                <w:sz w:val="18"/>
                <w:szCs w:val="18"/>
                <w:color w:val="auto"/>
              </w:rPr>
              <w:t>496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foreign currency exchange</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(1,375)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1"/>
                <w:szCs w:val="21"/>
                <w:color w:val="auto"/>
              </w:rPr>
            </w:pPr>
          </w:p>
        </w:tc>
        <w:tc>
          <w:tcPr>
            <w:tcW w:w="40" w:type="dxa"/>
            <w:vAlign w:val="bottom"/>
          </w:tcPr>
          <w:p>
            <w:pPr>
              <w:spacing w:after="0"/>
              <w:rPr>
                <w:sz w:val="21"/>
                <w:szCs w:val="21"/>
                <w:color w:val="auto"/>
              </w:rPr>
            </w:pPr>
          </w:p>
        </w:tc>
      </w:tr>
      <w:tr>
        <w:trPr>
          <w:trHeight w:val="223"/>
        </w:trPr>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5,525</w:t>
            </w:r>
          </w:p>
        </w:tc>
        <w:tc>
          <w:tcPr>
            <w:tcW w:w="220" w:type="dxa"/>
            <w:vAlign w:val="bottom"/>
          </w:tcPr>
          <w:p>
            <w:pPr>
              <w:spacing w:after="0"/>
              <w:rPr>
                <w:sz w:val="19"/>
                <w:szCs w:val="19"/>
                <w:color w:val="auto"/>
              </w:rPr>
            </w:pPr>
          </w:p>
        </w:tc>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(2,250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(351</w:t>
            </w:r>
          </w:p>
        </w:tc>
        <w:tc>
          <w:tcPr>
            <w:tcW w:w="60" w:type="dxa"/>
            <w:vAlign w:val="bottom"/>
            <w:gridSpan w:val="2"/>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-2099945</wp:posOffset>
            </wp:positionH>
            <wp:positionV relativeFrom="paragraph">
              <wp:posOffset>-1294130</wp:posOffset>
            </wp:positionV>
            <wp:extent cx="6955155" cy="1460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-1011555</wp:posOffset>
            </wp:positionV>
            <wp:extent cx="6955155" cy="13716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-736600</wp:posOffset>
            </wp:positionV>
            <wp:extent cx="6955155" cy="13716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-462280</wp:posOffset>
            </wp:positionV>
            <wp:extent cx="6955155" cy="13716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-2099945</wp:posOffset>
            </wp:positionH>
            <wp:positionV relativeFrom="paragraph">
              <wp:posOffset>-179705</wp:posOffset>
            </wp:positionV>
            <wp:extent cx="6955155" cy="16319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920" w:space="720"/>
            <w:col w:w="7600"/>
          </w:cols>
          <w:pgMar w:left="240" w:top="877" w:right="419" w:bottom="1440" w:gutter="0" w:footer="0" w:header="0"/>
          <w:type w:val="continuous"/>
        </w:sect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6"/>
          <w:szCs w:val="16"/>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40"/>
          </w:cols>
          <w:pgMar w:left="240" w:top="877" w:right="419" w:bottom="1440" w:gutter="0" w:footer="0" w:header="0"/>
          <w:type w:val="continuous"/>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3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920" w:type="dxa"/>
            <w:vAlign w:val="bottom"/>
            <w:tcBorders>
              <w:bottom w:val="single" w:sz="8" w:color="auto"/>
            </w:tcBorders>
            <w:gridSpan w:val="4"/>
          </w:tcPr>
          <w:p>
            <w:pPr>
              <w:ind w:left="840"/>
              <w:spacing w:after="0"/>
              <w:rPr>
                <w:sz w:val="20"/>
                <w:szCs w:val="20"/>
                <w:color w:val="auto"/>
              </w:rPr>
            </w:pPr>
            <w:r>
              <w:rPr>
                <w:rFonts w:ascii="Arial" w:cs="Arial" w:eastAsia="Arial" w:hAnsi="Arial"/>
                <w:sz w:val="18"/>
                <w:szCs w:val="18"/>
                <w:b w:val="1"/>
                <w:bCs w:val="1"/>
                <w:color w:val="auto"/>
              </w:rPr>
              <w:t>Nine months ended September 30, 2016</w:t>
            </w: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33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accumulated OCI</w:t>
            </w:r>
          </w:p>
        </w:tc>
        <w:tc>
          <w:tcPr>
            <w:tcW w:w="13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33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Gain (loss)</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to the</w:t>
            </w:r>
          </w:p>
        </w:tc>
        <w:tc>
          <w:tcPr>
            <w:tcW w:w="13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330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recognized in</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33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OCI (effective</w:t>
            </w:r>
          </w:p>
        </w:tc>
        <w:tc>
          <w:tcPr>
            <w:tcW w:w="3340" w:type="dxa"/>
            <w:vAlign w:val="bottom"/>
            <w:gridSpan w:val="2"/>
          </w:tcPr>
          <w:p>
            <w:pPr>
              <w:ind w:left="1000"/>
              <w:spacing w:after="0"/>
              <w:rPr>
                <w:sz w:val="20"/>
                <w:szCs w:val="20"/>
                <w:color w:val="auto"/>
              </w:rPr>
            </w:pPr>
            <w:r>
              <w:rPr>
                <w:rFonts w:ascii="Arial" w:cs="Arial" w:eastAsia="Arial" w:hAnsi="Arial"/>
                <w:sz w:val="18"/>
                <w:szCs w:val="18"/>
                <w:b w:val="1"/>
                <w:bCs w:val="1"/>
                <w:color w:val="auto"/>
              </w:rPr>
              <w:t>Classification of</w:t>
            </w:r>
          </w:p>
        </w:tc>
        <w:tc>
          <w:tcPr>
            <w:tcW w:w="15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330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portion)</w:t>
            </w:r>
          </w:p>
        </w:tc>
        <w:tc>
          <w:tcPr>
            <w:tcW w:w="3340" w:type="dxa"/>
            <w:vAlign w:val="bottom"/>
            <w:gridSpan w:val="2"/>
          </w:tcPr>
          <w:p>
            <w:pPr>
              <w:ind w:left="1220"/>
              <w:spacing w:after="0"/>
              <w:rPr>
                <w:sz w:val="20"/>
                <w:szCs w:val="20"/>
                <w:color w:val="auto"/>
              </w:rPr>
            </w:pPr>
            <w:r>
              <w:rPr>
                <w:rFonts w:ascii="Arial" w:cs="Arial" w:eastAsia="Arial" w:hAnsi="Arial"/>
                <w:sz w:val="18"/>
                <w:szCs w:val="18"/>
                <w:b w:val="1"/>
                <w:bCs w:val="1"/>
                <w:color w:val="auto"/>
              </w:rPr>
              <w:t>gain (loss)</w:t>
            </w:r>
          </w:p>
        </w:tc>
        <w:tc>
          <w:tcPr>
            <w:tcW w:w="15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profit or loss</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4"/>
              </w:rPr>
              <w:t>portion)</w:t>
            </w:r>
          </w:p>
        </w:tc>
      </w:tr>
      <w:tr>
        <w:trPr>
          <w:trHeight w:val="210"/>
        </w:trPr>
        <w:tc>
          <w:tcPr>
            <w:tcW w:w="3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300" w:type="dxa"/>
            <w:vAlign w:val="bottom"/>
          </w:tcPr>
          <w:p>
            <w:pPr>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(1,674)</w:t>
            </w: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(1,226)</w:t>
            </w:r>
          </w:p>
        </w:tc>
      </w:tr>
      <w:tr>
        <w:trPr>
          <w:trHeight w:val="216"/>
        </w:trPr>
        <w:tc>
          <w:tcPr>
            <w:tcW w:w="33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w:t>
            </w: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Gain (loss) on foreign exchange</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(60)</w:t>
            </w:r>
          </w:p>
        </w:tc>
      </w:tr>
      <w:tr>
        <w:trPr>
          <w:trHeight w:val="216"/>
        </w:trPr>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0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4,641</w:t>
            </w: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160"/>
              <w:spacing w:after="0"/>
              <w:rPr>
                <w:sz w:val="20"/>
                <w:szCs w:val="20"/>
                <w:color w:val="auto"/>
              </w:rPr>
            </w:pPr>
            <w:r>
              <w:rPr>
                <w:rFonts w:ascii="Arial" w:cs="Arial" w:eastAsia="Arial" w:hAnsi="Arial"/>
                <w:sz w:val="18"/>
                <w:szCs w:val="18"/>
                <w:color w:val="auto"/>
              </w:rPr>
              <w:t>(3,127)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847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3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3,259</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23"/>
        </w:trPr>
        <w:tc>
          <w:tcPr>
            <w:tcW w:w="33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2,954</w:t>
            </w:r>
          </w:p>
        </w:tc>
        <w:tc>
          <w:tcPr>
            <w:tcW w:w="220" w:type="dxa"/>
            <w:vAlign w:val="bottom"/>
          </w:tcPr>
          <w:p>
            <w:pPr>
              <w:spacing w:after="0"/>
              <w:rPr>
                <w:sz w:val="19"/>
                <w:szCs w:val="19"/>
                <w:color w:val="auto"/>
              </w:rPr>
            </w:pPr>
          </w:p>
        </w:tc>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979</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(1,286</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3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440"/>
        <w:spacing w:after="0" w:line="277" w:lineRule="auto"/>
        <w:rPr>
          <w:sz w:val="20"/>
          <w:szCs w:val="20"/>
          <w:color w:val="auto"/>
        </w:rPr>
      </w:pPr>
      <w:r>
        <w:rPr>
          <w:rFonts w:ascii="Arial" w:cs="Arial" w:eastAsia="Arial" w:hAnsi="Arial"/>
          <w:sz w:val="18"/>
          <w:szCs w:val="18"/>
          <w:color w:val="auto"/>
        </w:rPr>
        <w:t>For the agreements qualified as fair value hedge, the Bank recognized in the consolidated statement of profit or loss the gain (loss) on the derivative financial instruments and the gain (loss) of the hedged asset or liability related. The details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6280" w:type="dxa"/>
            <w:vAlign w:val="bottom"/>
            <w:tcBorders>
              <w:bottom w:val="single" w:sz="8" w:color="auto"/>
            </w:tcBorders>
            <w:gridSpan w:val="6"/>
          </w:tcPr>
          <w:p>
            <w:pPr>
              <w:ind w:left="2220"/>
              <w:spacing w:after="0"/>
              <w:rPr>
                <w:sz w:val="20"/>
                <w:szCs w:val="20"/>
                <w:color w:val="auto"/>
              </w:rPr>
            </w:pPr>
            <w:r>
              <w:rPr>
                <w:rFonts w:ascii="Arial" w:cs="Arial" w:eastAsia="Arial" w:hAnsi="Arial"/>
                <w:sz w:val="18"/>
                <w:szCs w:val="18"/>
                <w:b w:val="1"/>
                <w:bCs w:val="1"/>
                <w:color w:val="auto"/>
              </w:rPr>
              <w:t>Three months ended September 30, 2018</w:t>
            </w:r>
          </w:p>
        </w:tc>
        <w:tc>
          <w:tcPr>
            <w:tcW w:w="8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37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consolidated statement</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88"/>
              </w:rPr>
              <w:t>Gain (loss) on</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88"/>
              </w:rPr>
              <w:t>Gain (loss) on</w:t>
            </w:r>
          </w:p>
        </w:tc>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of profit or loss</w:t>
            </w:r>
          </w:p>
        </w:tc>
        <w:tc>
          <w:tcPr>
            <w:tcW w:w="13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derivatives</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8"/>
              </w:rPr>
              <w:t>hedge item</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w w:val="91"/>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20" w:type="dxa"/>
            <w:vAlign w:val="bottom"/>
            <w:gridSpan w:val="2"/>
          </w:tcPr>
          <w:p>
            <w:pPr>
              <w:jc w:val="right"/>
              <w:ind w:right="140"/>
              <w:spacing w:after="0"/>
              <w:rPr>
                <w:sz w:val="20"/>
                <w:szCs w:val="20"/>
                <w:color w:val="auto"/>
              </w:rPr>
            </w:pPr>
            <w:r>
              <w:rPr>
                <w:rFonts w:ascii="Arial" w:cs="Arial" w:eastAsia="Arial" w:hAnsi="Arial"/>
                <w:sz w:val="18"/>
                <w:szCs w:val="18"/>
                <w:color w:val="auto"/>
              </w:rPr>
              <w:t>5</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97</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102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(65)</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870</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805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(755)</w:t>
            </w:r>
          </w:p>
        </w:tc>
        <w:tc>
          <w:tcPr>
            <w:tcW w:w="1220" w:type="dxa"/>
            <w:vAlign w:val="bottom"/>
            <w:gridSpan w:val="2"/>
          </w:tcPr>
          <w:p>
            <w:pPr>
              <w:jc w:val="right"/>
              <w:ind w:right="80"/>
              <w:spacing w:after="0"/>
              <w:rPr>
                <w:sz w:val="20"/>
                <w:szCs w:val="20"/>
                <w:color w:val="auto"/>
              </w:rPr>
            </w:pPr>
            <w:r>
              <w:rPr>
                <w:rFonts w:ascii="Arial" w:cs="Arial" w:eastAsia="Arial" w:hAnsi="Arial"/>
                <w:sz w:val="18"/>
                <w:szCs w:val="18"/>
                <w:color w:val="auto"/>
              </w:rPr>
              <w:t>(3,051)</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(3,806)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(3,732)</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3,835</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103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Cross-currency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(151)</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345</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194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(107)</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(2,658)</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(2,765)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(13,728)</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10,850</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(2,878)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6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(18,533</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10,288</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(8,245</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3620" w:type="dxa"/>
            <w:vAlign w:val="bottom"/>
            <w:vMerge w:val="restart"/>
          </w:tcPr>
          <w:p>
            <w:pPr>
              <w:ind w:left="1880"/>
              <w:spacing w:after="0"/>
              <w:rPr>
                <w:sz w:val="20"/>
                <w:szCs w:val="20"/>
                <w:color w:val="auto"/>
              </w:rPr>
            </w:pPr>
            <w:r>
              <w:rPr>
                <w:rFonts w:ascii="Arial" w:cs="Arial" w:eastAsia="Arial" w:hAnsi="Arial"/>
                <w:sz w:val="18"/>
                <w:szCs w:val="18"/>
                <w:color w:val="auto"/>
              </w:rPr>
              <w:t>34</w:t>
            </w: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362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6280" w:type="dxa"/>
            <w:vAlign w:val="bottom"/>
            <w:tcBorders>
              <w:bottom w:val="single" w:sz="8" w:color="auto"/>
            </w:tcBorders>
            <w:gridSpan w:val="6"/>
          </w:tcPr>
          <w:p>
            <w:pPr>
              <w:jc w:val="right"/>
              <w:ind w:right="900"/>
              <w:spacing w:after="0"/>
              <w:rPr>
                <w:sz w:val="20"/>
                <w:szCs w:val="20"/>
                <w:color w:val="auto"/>
              </w:rPr>
            </w:pPr>
            <w:r>
              <w:rPr>
                <w:rFonts w:ascii="Arial" w:cs="Arial" w:eastAsia="Arial" w:hAnsi="Arial"/>
                <w:sz w:val="18"/>
                <w:szCs w:val="18"/>
                <w:b w:val="1"/>
                <w:bCs w:val="1"/>
                <w:color w:val="auto"/>
              </w:rPr>
              <w:t>Nine months ended September 30, 2018</w:t>
            </w:r>
          </w:p>
        </w:tc>
        <w:tc>
          <w:tcPr>
            <w:tcW w:w="8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37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consolidated statement</w:t>
            </w:r>
          </w:p>
        </w:tc>
        <w:tc>
          <w:tcPr>
            <w:tcW w:w="13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Gain (loss) on</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 on</w:t>
            </w:r>
          </w:p>
        </w:tc>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of profit or loss</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2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hedge item</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w w:val="91"/>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(16)</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291</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275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(79)</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1,030</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951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(1,310)</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(9,150)</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(10,460)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(7,157)</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7,097</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Cross-currency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(639)</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1,281</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642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(7,193)</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(7,202)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(14,900)</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13,162</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(1,738)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6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(24,110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6,518</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(17,592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3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6280" w:type="dxa"/>
            <w:vAlign w:val="bottom"/>
            <w:tcBorders>
              <w:bottom w:val="single" w:sz="8" w:color="auto"/>
            </w:tcBorders>
            <w:gridSpan w:val="6"/>
          </w:tcPr>
          <w:p>
            <w:pPr>
              <w:jc w:val="right"/>
              <w:ind w:right="860"/>
              <w:spacing w:after="0"/>
              <w:rPr>
                <w:sz w:val="20"/>
                <w:szCs w:val="20"/>
                <w:color w:val="auto"/>
              </w:rPr>
            </w:pPr>
            <w:r>
              <w:rPr>
                <w:rFonts w:ascii="Arial" w:cs="Arial" w:eastAsia="Arial" w:hAnsi="Arial"/>
                <w:sz w:val="18"/>
                <w:szCs w:val="18"/>
                <w:b w:val="1"/>
                <w:bCs w:val="1"/>
                <w:color w:val="auto"/>
              </w:rPr>
              <w:t>Three months ended September 30, 2017</w:t>
            </w: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37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consolidated statement of</w:t>
            </w:r>
          </w:p>
        </w:tc>
        <w:tc>
          <w:tcPr>
            <w:tcW w:w="13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Gain (loss) on</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 on</w:t>
            </w:r>
          </w:p>
        </w:tc>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profit or loss</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2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hedge item</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w w:val="91"/>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(24)</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100</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76</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loans</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tcPr>
          <w:p>
            <w:pPr>
              <w:jc w:val="right"/>
              <w:ind w:right="140"/>
              <w:spacing w:after="0"/>
              <w:rPr>
                <w:sz w:val="20"/>
                <w:szCs w:val="20"/>
                <w:color w:val="auto"/>
              </w:rPr>
            </w:pPr>
            <w:r>
              <w:rPr>
                <w:rFonts w:ascii="Arial" w:cs="Arial" w:eastAsia="Arial" w:hAnsi="Arial"/>
                <w:sz w:val="18"/>
                <w:szCs w:val="18"/>
                <w:color w:val="auto"/>
              </w:rPr>
              <w:t>236</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(3,013)</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(2,777)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(743)</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622</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(121)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Cross-currency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(592)</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903</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311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638</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(2,805)</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(2,167)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tcPr>
          <w:p>
            <w:pPr>
              <w:jc w:val="right"/>
              <w:ind w:right="140"/>
              <w:spacing w:after="0"/>
              <w:rPr>
                <w:sz w:val="20"/>
                <w:szCs w:val="20"/>
                <w:color w:val="auto"/>
              </w:rPr>
            </w:pPr>
            <w:r>
              <w:rPr>
                <w:rFonts w:ascii="Arial" w:cs="Arial" w:eastAsia="Arial" w:hAnsi="Arial"/>
                <w:sz w:val="18"/>
                <w:szCs w:val="18"/>
                <w:color w:val="auto"/>
              </w:rPr>
              <w:t>2,529</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(1,694)</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(835)</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6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(5,885</w:t>
            </w:r>
          </w:p>
        </w:tc>
        <w:tc>
          <w:tcPr>
            <w:tcW w:w="14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(3,841</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3620" w:type="dxa"/>
            <w:vAlign w:val="bottom"/>
            <w:vMerge w:val="restart"/>
          </w:tcPr>
          <w:p>
            <w:pPr>
              <w:ind w:left="1880"/>
              <w:spacing w:after="0"/>
              <w:rPr>
                <w:sz w:val="20"/>
                <w:szCs w:val="20"/>
                <w:color w:val="auto"/>
              </w:rPr>
            </w:pPr>
            <w:r>
              <w:rPr>
                <w:rFonts w:ascii="Arial" w:cs="Arial" w:eastAsia="Arial" w:hAnsi="Arial"/>
                <w:sz w:val="18"/>
                <w:szCs w:val="18"/>
                <w:color w:val="auto"/>
              </w:rPr>
              <w:t>35</w:t>
            </w: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362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6280" w:type="dxa"/>
            <w:vAlign w:val="bottom"/>
            <w:tcBorders>
              <w:bottom w:val="single" w:sz="8" w:color="auto"/>
            </w:tcBorders>
            <w:gridSpan w:val="6"/>
          </w:tcPr>
          <w:p>
            <w:pPr>
              <w:jc w:val="right"/>
              <w:ind w:right="900"/>
              <w:spacing w:after="0"/>
              <w:rPr>
                <w:sz w:val="20"/>
                <w:szCs w:val="20"/>
                <w:color w:val="auto"/>
              </w:rPr>
            </w:pPr>
            <w:r>
              <w:rPr>
                <w:rFonts w:ascii="Arial" w:cs="Arial" w:eastAsia="Arial" w:hAnsi="Arial"/>
                <w:sz w:val="18"/>
                <w:szCs w:val="18"/>
                <w:b w:val="1"/>
                <w:bCs w:val="1"/>
                <w:color w:val="auto"/>
              </w:rPr>
              <w:t>Nine months ended September 30, 2017</w:t>
            </w:r>
          </w:p>
        </w:tc>
        <w:tc>
          <w:tcPr>
            <w:tcW w:w="8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37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consolidated statement of</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Gain (loss) on</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 on</w:t>
            </w:r>
          </w:p>
        </w:tc>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profit or loss</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derivatives</w:t>
            </w:r>
          </w:p>
        </w:tc>
        <w:tc>
          <w:tcPr>
            <w:tcW w:w="12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hedge item</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w w:val="91"/>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(103)</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377</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274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148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1,212</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(13,219)</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(12,007)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(150)</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243</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93</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Cross-currency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(986)</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1,619</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633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1,381</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(7,577)</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(6,196)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21,746</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(22,379)</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(633)</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6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23,088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(40,776</w:t>
            </w:r>
          </w:p>
        </w:tc>
        <w:tc>
          <w:tcPr>
            <w:tcW w:w="14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(17,688</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3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6280" w:type="dxa"/>
            <w:vAlign w:val="bottom"/>
            <w:tcBorders>
              <w:bottom w:val="single" w:sz="8" w:color="auto"/>
            </w:tcBorders>
            <w:gridSpan w:val="6"/>
          </w:tcPr>
          <w:p>
            <w:pPr>
              <w:jc w:val="right"/>
              <w:ind w:right="860"/>
              <w:spacing w:after="0"/>
              <w:rPr>
                <w:sz w:val="20"/>
                <w:szCs w:val="20"/>
                <w:color w:val="auto"/>
              </w:rPr>
            </w:pPr>
            <w:r>
              <w:rPr>
                <w:rFonts w:ascii="Arial" w:cs="Arial" w:eastAsia="Arial" w:hAnsi="Arial"/>
                <w:sz w:val="18"/>
                <w:szCs w:val="18"/>
                <w:b w:val="1"/>
                <w:bCs w:val="1"/>
                <w:color w:val="auto"/>
              </w:rPr>
              <w:t>Three months ended September 30, 2016</w:t>
            </w: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37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consolidated statement of</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Gain (loss) on</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 on</w:t>
            </w:r>
          </w:p>
        </w:tc>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profit or loss</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derivatives</w:t>
            </w:r>
          </w:p>
        </w:tc>
        <w:tc>
          <w:tcPr>
            <w:tcW w:w="12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hedge item</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w w:val="91"/>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(145)</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407</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262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295</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167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1,056</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(7,067)</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(6,011)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(1,965)</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2,531</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566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Cross-currency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(128)</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319</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191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borrowings and debt</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(1,911)</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(1,825)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1,355</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(1,243)</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112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6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(6,669</w:t>
            </w:r>
          </w:p>
        </w:tc>
        <w:tc>
          <w:tcPr>
            <w:tcW w:w="14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(6,538</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3620" w:type="dxa"/>
            <w:vAlign w:val="bottom"/>
            <w:vMerge w:val="restart"/>
          </w:tcPr>
          <w:p>
            <w:pPr>
              <w:ind w:left="1880"/>
              <w:spacing w:after="0"/>
              <w:rPr>
                <w:sz w:val="20"/>
                <w:szCs w:val="20"/>
                <w:color w:val="auto"/>
              </w:rPr>
            </w:pPr>
            <w:r>
              <w:rPr>
                <w:rFonts w:ascii="Arial" w:cs="Arial" w:eastAsia="Arial" w:hAnsi="Arial"/>
                <w:sz w:val="18"/>
                <w:szCs w:val="18"/>
                <w:color w:val="auto"/>
              </w:rPr>
              <w:t>36</w:t>
            </w: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362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400" w:type="dxa"/>
            <w:vAlign w:val="bottom"/>
          </w:tcPr>
          <w:p>
            <w:pPr>
              <w:spacing w:after="0"/>
              <w:rPr>
                <w:sz w:val="20"/>
                <w:szCs w:val="20"/>
                <w:color w:val="auto"/>
              </w:rPr>
            </w:pPr>
          </w:p>
        </w:tc>
        <w:tc>
          <w:tcPr>
            <w:tcW w:w="6280" w:type="dxa"/>
            <w:vAlign w:val="bottom"/>
            <w:tcBorders>
              <w:bottom w:val="single" w:sz="8" w:color="auto"/>
            </w:tcBorders>
            <w:gridSpan w:val="6"/>
          </w:tcPr>
          <w:p>
            <w:pPr>
              <w:jc w:val="right"/>
              <w:ind w:right="900"/>
              <w:spacing w:after="0"/>
              <w:rPr>
                <w:sz w:val="20"/>
                <w:szCs w:val="20"/>
                <w:color w:val="auto"/>
              </w:rPr>
            </w:pPr>
            <w:r>
              <w:rPr>
                <w:rFonts w:ascii="Arial" w:cs="Arial" w:eastAsia="Arial" w:hAnsi="Arial"/>
                <w:sz w:val="18"/>
                <w:szCs w:val="18"/>
                <w:b w:val="1"/>
                <w:bCs w:val="1"/>
                <w:color w:val="auto"/>
              </w:rPr>
              <w:t>Nine months ended September 30, 2016</w:t>
            </w:r>
          </w:p>
        </w:tc>
        <w:tc>
          <w:tcPr>
            <w:tcW w:w="8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r>
      <w:tr>
        <w:trPr>
          <w:trHeight w:val="191"/>
        </w:trPr>
        <w:tc>
          <w:tcPr>
            <w:tcW w:w="3400" w:type="dxa"/>
            <w:vAlign w:val="bottom"/>
          </w:tcPr>
          <w:p>
            <w:pPr>
              <w:spacing w:after="0"/>
              <w:rPr>
                <w:sz w:val="16"/>
                <w:szCs w:val="16"/>
                <w:color w:val="auto"/>
              </w:rPr>
            </w:pPr>
          </w:p>
        </w:tc>
        <w:tc>
          <w:tcPr>
            <w:tcW w:w="37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400" w:type="dxa"/>
            <w:vAlign w:val="bottom"/>
          </w:tcPr>
          <w:p>
            <w:pPr>
              <w:spacing w:after="0"/>
              <w:rPr>
                <w:sz w:val="18"/>
                <w:szCs w:val="18"/>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consolidated statement of</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88"/>
              </w:rPr>
              <w:t>Gain (loss) on</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88"/>
              </w:rPr>
              <w:t>Gain (loss) on</w:t>
            </w:r>
          </w:p>
        </w:tc>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400" w:type="dxa"/>
            <w:vAlign w:val="bottom"/>
          </w:tcPr>
          <w:p>
            <w:pPr>
              <w:spacing w:after="0"/>
              <w:rPr>
                <w:sz w:val="20"/>
                <w:szCs w:val="20"/>
                <w:color w:val="auto"/>
              </w:rPr>
            </w:pPr>
          </w:p>
        </w:tc>
        <w:tc>
          <w:tcPr>
            <w:tcW w:w="37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profit or loss</w:t>
            </w:r>
          </w:p>
        </w:tc>
        <w:tc>
          <w:tcPr>
            <w:tcW w:w="13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derivatives</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8"/>
              </w:rPr>
              <w:t>hedge item</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w w:val="91"/>
              </w:rPr>
              <w:t>Net gain (loss)</w:t>
            </w:r>
          </w:p>
        </w:tc>
      </w:tr>
      <w:tr>
        <w:trPr>
          <w:trHeight w:val="210"/>
        </w:trPr>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(507)</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1,243</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736</w:t>
            </w:r>
          </w:p>
        </w:tc>
      </w:tr>
      <w:tr>
        <w:trPr>
          <w:trHeight w:val="216"/>
        </w:trPr>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(265)</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1,803</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1,538</w:t>
            </w:r>
          </w:p>
        </w:tc>
      </w:tr>
      <w:tr>
        <w:trPr>
          <w:trHeight w:val="216"/>
        </w:trPr>
        <w:tc>
          <w:tcPr>
            <w:tcW w:w="3400" w:type="dxa"/>
            <w:vAlign w:val="bottom"/>
          </w:tcPr>
          <w:p>
            <w:pPr>
              <w:spacing w:after="0"/>
              <w:rPr>
                <w:sz w:val="18"/>
                <w:szCs w:val="18"/>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320" w:type="dxa"/>
            <w:vAlign w:val="bottom"/>
            <w:gridSpan w:val="2"/>
          </w:tcPr>
          <w:p>
            <w:pPr>
              <w:jc w:val="right"/>
              <w:ind w:right="140"/>
              <w:spacing w:after="0"/>
              <w:rPr>
                <w:sz w:val="20"/>
                <w:szCs w:val="20"/>
                <w:color w:val="auto"/>
              </w:rPr>
            </w:pPr>
            <w:r>
              <w:rPr>
                <w:rFonts w:ascii="Arial" w:cs="Arial" w:eastAsia="Arial" w:hAnsi="Arial"/>
                <w:sz w:val="18"/>
                <w:szCs w:val="18"/>
                <w:color w:val="auto"/>
              </w:rPr>
              <w:t>3,945</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(21,193)</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(17,248)</w:t>
            </w:r>
          </w:p>
        </w:tc>
      </w:tr>
      <w:tr>
        <w:trPr>
          <w:trHeight w:val="216"/>
        </w:trPr>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(3,369)</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4,329</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960</w:t>
            </w: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Cross-currency swaps</w:t>
            </w:r>
          </w:p>
        </w:tc>
        <w:tc>
          <w:tcPr>
            <w:tcW w:w="3740" w:type="dxa"/>
            <w:vAlign w:val="bottom"/>
            <w:gridSpan w:val="2"/>
          </w:tcPr>
          <w:p>
            <w:pPr>
              <w:spacing w:after="0"/>
              <w:rPr>
                <w:sz w:val="20"/>
                <w:szCs w:val="20"/>
                <w:color w:val="auto"/>
              </w:rPr>
            </w:pPr>
            <w:r>
              <w:rPr>
                <w:rFonts w:ascii="Arial" w:cs="Arial" w:eastAsia="Arial" w:hAnsi="Arial"/>
                <w:sz w:val="18"/>
                <w:szCs w:val="18"/>
                <w:color w:val="auto"/>
              </w:rPr>
              <w:t>Interest income loans</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(265)</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673</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408</w:t>
            </w:r>
          </w:p>
        </w:tc>
      </w:tr>
      <w:tr>
        <w:trPr>
          <w:trHeight w:val="216"/>
        </w:trPr>
        <w:tc>
          <w:tcPr>
            <w:tcW w:w="3400" w:type="dxa"/>
            <w:vAlign w:val="bottom"/>
            <w:shd w:val="clear" w:color="auto" w:fill="CCEEFF"/>
          </w:tcPr>
          <w:p>
            <w:pPr>
              <w:spacing w:after="0"/>
              <w:rPr>
                <w:sz w:val="18"/>
                <w:szCs w:val="18"/>
                <w:color w:val="auto"/>
              </w:rPr>
            </w:pPr>
          </w:p>
        </w:tc>
        <w:tc>
          <w:tcPr>
            <w:tcW w:w="37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expenses – borrowings and debt</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(4,383)</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(4,333)</w:t>
            </w:r>
          </w:p>
        </w:tc>
      </w:tr>
      <w:tr>
        <w:trPr>
          <w:trHeight w:val="230"/>
        </w:trPr>
        <w:tc>
          <w:tcPr>
            <w:tcW w:w="340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Derivative financial instruments and hedging</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(2,358)</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1,970</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(388)</w:t>
            </w:r>
          </w:p>
        </w:tc>
      </w:tr>
      <w:tr>
        <w:trPr>
          <w:trHeight w:val="223"/>
        </w:trPr>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6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(2,769</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(15,558</w:t>
            </w:r>
          </w:p>
        </w:tc>
        <w:tc>
          <w:tcPr>
            <w:tcW w:w="14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(18,327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400" w:type="dxa"/>
            <w:vAlign w:val="bottom"/>
          </w:tcPr>
          <w:p>
            <w:pPr>
              <w:spacing w:after="0" w:line="20" w:lineRule="exact"/>
              <w:rPr>
                <w:sz w:val="1"/>
                <w:szCs w:val="1"/>
                <w:color w:val="auto"/>
              </w:rPr>
            </w:pPr>
          </w:p>
        </w:tc>
        <w:tc>
          <w:tcPr>
            <w:tcW w:w="3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financial position and performance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tables details the changes of the market value of the underlying item in the statement of financial position related to fair value hedges: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428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September 30, 2018</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90"/>
              </w:rPr>
              <w:t>Accumulated</w:t>
            </w:r>
          </w:p>
        </w:tc>
        <w:tc>
          <w:tcPr>
            <w:tcW w:w="120" w:type="dxa"/>
            <w:vAlign w:val="bottom"/>
          </w:tcPr>
          <w:p>
            <w:pPr>
              <w:spacing w:after="0"/>
              <w:rPr>
                <w:sz w:val="16"/>
                <w:szCs w:val="16"/>
                <w:color w:val="auto"/>
              </w:rPr>
            </w:pPr>
          </w:p>
        </w:tc>
        <w:tc>
          <w:tcPr>
            <w:tcW w:w="416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Carrying</w:t>
            </w:r>
          </w:p>
        </w:tc>
        <w:tc>
          <w:tcPr>
            <w:tcW w:w="120" w:type="dxa"/>
            <w:vAlign w:val="bottom"/>
          </w:tcPr>
          <w:p>
            <w:pPr>
              <w:spacing w:after="0"/>
              <w:rPr>
                <w:sz w:val="18"/>
                <w:szCs w:val="18"/>
                <w:color w:val="auto"/>
              </w:rPr>
            </w:pPr>
          </w:p>
        </w:tc>
        <w:tc>
          <w:tcPr>
            <w:tcW w:w="13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3"/>
              </w:rPr>
              <w:t>fair value</w:t>
            </w:r>
          </w:p>
        </w:tc>
        <w:tc>
          <w:tcPr>
            <w:tcW w:w="120" w:type="dxa"/>
            <w:vAlign w:val="bottom"/>
          </w:tcPr>
          <w:p>
            <w:pPr>
              <w:spacing w:after="0"/>
              <w:rPr>
                <w:sz w:val="18"/>
                <w:szCs w:val="18"/>
                <w:color w:val="auto"/>
              </w:rPr>
            </w:pPr>
          </w:p>
        </w:tc>
        <w:tc>
          <w:tcPr>
            <w:tcW w:w="4160" w:type="dxa"/>
            <w:vAlign w:val="bottom"/>
          </w:tcPr>
          <w:p>
            <w:pPr>
              <w:jc w:val="center"/>
              <w:spacing w:after="0"/>
              <w:rPr>
                <w:sz w:val="20"/>
                <w:szCs w:val="20"/>
                <w:color w:val="auto"/>
              </w:rPr>
            </w:pPr>
            <w:r>
              <w:rPr>
                <w:rFonts w:ascii="Arial" w:cs="Arial" w:eastAsia="Arial" w:hAnsi="Arial"/>
                <w:sz w:val="18"/>
                <w:szCs w:val="18"/>
                <w:b w:val="1"/>
                <w:bCs w:val="1"/>
                <w:color w:val="auto"/>
                <w:w w:val="90"/>
              </w:rPr>
              <w:t>Line item in the statement of financial</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amount</w:t>
            </w:r>
          </w:p>
        </w:tc>
        <w:tc>
          <w:tcPr>
            <w:tcW w:w="120" w:type="dxa"/>
            <w:vAlign w:val="bottom"/>
          </w:tcPr>
          <w:p>
            <w:pPr>
              <w:spacing w:after="0"/>
              <w:rPr>
                <w:sz w:val="20"/>
                <w:szCs w:val="20"/>
                <w:color w:val="auto"/>
              </w:rPr>
            </w:pPr>
          </w:p>
        </w:tc>
        <w:tc>
          <w:tcPr>
            <w:tcW w:w="13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adjustments</w:t>
            </w:r>
          </w:p>
        </w:tc>
        <w:tc>
          <w:tcPr>
            <w:tcW w:w="120" w:type="dxa"/>
            <w:vAlign w:val="bottom"/>
          </w:tcPr>
          <w:p>
            <w:pPr>
              <w:spacing w:after="0"/>
              <w:rPr>
                <w:sz w:val="20"/>
                <w:szCs w:val="20"/>
                <w:color w:val="auto"/>
              </w:rPr>
            </w:pPr>
          </w:p>
        </w:tc>
        <w:tc>
          <w:tcPr>
            <w:tcW w:w="4160" w:type="dxa"/>
            <w:vAlign w:val="bottom"/>
          </w:tcPr>
          <w:p>
            <w:pPr>
              <w:jc w:val="center"/>
              <w:spacing w:after="0"/>
              <w:rPr>
                <w:sz w:val="20"/>
                <w:szCs w:val="20"/>
                <w:color w:val="auto"/>
              </w:rPr>
            </w:pPr>
            <w:r>
              <w:rPr>
                <w:rFonts w:ascii="Arial" w:cs="Arial" w:eastAsia="Arial" w:hAnsi="Arial"/>
                <w:sz w:val="18"/>
                <w:szCs w:val="18"/>
                <w:b w:val="1"/>
                <w:bCs w:val="1"/>
                <w:color w:val="auto"/>
                <w:w w:val="88"/>
              </w:rPr>
              <w:t>position</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4160" w:type="dxa"/>
            <w:vAlign w:val="bottom"/>
            <w:tcBorders>
              <w:top w:val="single" w:sz="8" w:color="auto"/>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ind w:left="160"/>
              <w:spacing w:after="0"/>
              <w:rPr>
                <w:sz w:val="20"/>
                <w:szCs w:val="20"/>
                <w:color w:val="auto"/>
              </w:rPr>
            </w:pPr>
            <w:r>
              <w:rPr>
                <w:rFonts w:ascii="Arial" w:cs="Arial" w:eastAsia="Arial" w:hAnsi="Arial"/>
                <w:sz w:val="18"/>
                <w:szCs w:val="18"/>
                <w:color w:val="auto"/>
              </w:rPr>
              <w:t>Loans</w:t>
            </w: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65,794</w:t>
            </w:r>
          </w:p>
        </w:tc>
        <w:tc>
          <w:tcPr>
            <w:tcW w:w="1420" w:type="dxa"/>
            <w:vAlign w:val="bottom"/>
            <w:gridSpan w:val="3"/>
          </w:tcPr>
          <w:p>
            <w:pPr>
              <w:jc w:val="right"/>
              <w:ind w:right="40"/>
              <w:spacing w:after="0"/>
              <w:rPr>
                <w:sz w:val="20"/>
                <w:szCs w:val="20"/>
                <w:color w:val="auto"/>
              </w:rPr>
            </w:pPr>
            <w:r>
              <w:rPr>
                <w:rFonts w:ascii="Arial" w:cs="Arial" w:eastAsia="Arial" w:hAnsi="Arial"/>
                <w:sz w:val="18"/>
                <w:szCs w:val="18"/>
                <w:color w:val="auto"/>
              </w:rPr>
              <w:t>(199)</w:t>
            </w:r>
          </w:p>
        </w:tc>
        <w:tc>
          <w:tcPr>
            <w:tcW w:w="4280" w:type="dxa"/>
            <w:vAlign w:val="bottom"/>
            <w:gridSpan w:val="2"/>
          </w:tcPr>
          <w:p>
            <w:pPr>
              <w:ind w:left="120"/>
              <w:spacing w:after="0"/>
              <w:rPr>
                <w:sz w:val="20"/>
                <w:szCs w:val="20"/>
                <w:color w:val="auto"/>
              </w:rPr>
            </w:pPr>
            <w:r>
              <w:rPr>
                <w:rFonts w:ascii="Arial" w:cs="Arial" w:eastAsia="Arial" w:hAnsi="Arial"/>
                <w:sz w:val="18"/>
                <w:szCs w:val="18"/>
                <w:color w:val="auto"/>
              </w:rPr>
              <w:t>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Issuances</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(347,398)</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7,296</w:t>
            </w:r>
          </w:p>
        </w:tc>
        <w:tc>
          <w:tcPr>
            <w:tcW w:w="100" w:type="dxa"/>
            <w:vAlign w:val="bottom"/>
            <w:shd w:val="clear" w:color="auto" w:fill="CCEEFF"/>
          </w:tcPr>
          <w:p>
            <w:pPr>
              <w:spacing w:after="0"/>
              <w:rPr>
                <w:sz w:val="18"/>
                <w:szCs w:val="18"/>
                <w:color w:val="auto"/>
              </w:rPr>
            </w:pPr>
          </w:p>
        </w:tc>
        <w:tc>
          <w:tcPr>
            <w:tcW w:w="428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Short and long-term borrowings and debt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interest rate risk:</w:t>
            </w:r>
          </w:p>
        </w:tc>
        <w:tc>
          <w:tcPr>
            <w:tcW w:w="1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ind w:left="160"/>
              <w:spacing w:after="0"/>
              <w:rPr>
                <w:sz w:val="20"/>
                <w:szCs w:val="20"/>
                <w:color w:val="auto"/>
              </w:rPr>
            </w:pPr>
            <w:r>
              <w:rPr>
                <w:rFonts w:ascii="Arial" w:cs="Arial" w:eastAsia="Arial" w:hAnsi="Arial"/>
                <w:sz w:val="18"/>
                <w:szCs w:val="18"/>
                <w:color w:val="auto"/>
              </w:rPr>
              <w:t>Securities at FVOCI</w:t>
            </w: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12,060</w:t>
            </w:r>
          </w:p>
        </w:tc>
        <w:tc>
          <w:tcPr>
            <w:tcW w:w="1420" w:type="dxa"/>
            <w:vAlign w:val="bottom"/>
            <w:gridSpan w:val="3"/>
          </w:tcPr>
          <w:p>
            <w:pPr>
              <w:jc w:val="right"/>
              <w:ind w:right="40"/>
              <w:spacing w:after="0"/>
              <w:rPr>
                <w:sz w:val="20"/>
                <w:szCs w:val="20"/>
                <w:color w:val="auto"/>
              </w:rPr>
            </w:pPr>
            <w:r>
              <w:rPr>
                <w:rFonts w:ascii="Arial" w:cs="Arial" w:eastAsia="Arial" w:hAnsi="Arial"/>
                <w:sz w:val="18"/>
                <w:szCs w:val="18"/>
                <w:color w:val="auto"/>
              </w:rPr>
              <w:t>(761)</w:t>
            </w:r>
          </w:p>
        </w:tc>
        <w:tc>
          <w:tcPr>
            <w:tcW w:w="4280" w:type="dxa"/>
            <w:vAlign w:val="bottom"/>
            <w:gridSpan w:val="2"/>
          </w:tcPr>
          <w:p>
            <w:pPr>
              <w:ind w:left="120"/>
              <w:spacing w:after="0"/>
              <w:rPr>
                <w:sz w:val="20"/>
                <w:szCs w:val="20"/>
                <w:color w:val="auto"/>
              </w:rPr>
            </w:pPr>
            <w:r>
              <w:rPr>
                <w:rFonts w:ascii="Arial" w:cs="Arial" w:eastAsia="Arial" w:hAnsi="Arial"/>
                <w:sz w:val="18"/>
                <w:szCs w:val="18"/>
                <w:color w:val="auto"/>
              </w:rPr>
              <w:t>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11,735</w:t>
            </w:r>
          </w:p>
        </w:tc>
        <w:tc>
          <w:tcPr>
            <w:tcW w:w="14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(494)</w:t>
            </w:r>
          </w:p>
        </w:tc>
        <w:tc>
          <w:tcPr>
            <w:tcW w:w="428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ind w:left="160"/>
              <w:spacing w:after="0"/>
              <w:rPr>
                <w:sz w:val="20"/>
                <w:szCs w:val="20"/>
                <w:color w:val="auto"/>
              </w:rPr>
            </w:pPr>
            <w:r>
              <w:rPr>
                <w:rFonts w:ascii="Arial" w:cs="Arial" w:eastAsia="Arial" w:hAnsi="Arial"/>
                <w:sz w:val="18"/>
                <w:szCs w:val="18"/>
                <w:color w:val="auto"/>
              </w:rPr>
              <w:t>Issuances</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(200,724)</w:t>
            </w: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13,656</w:t>
            </w:r>
          </w:p>
        </w:tc>
        <w:tc>
          <w:tcPr>
            <w:tcW w:w="4280" w:type="dxa"/>
            <w:vAlign w:val="bottom"/>
            <w:gridSpan w:val="2"/>
          </w:tcPr>
          <w:p>
            <w:pPr>
              <w:ind w:left="120"/>
              <w:spacing w:after="0"/>
              <w:rPr>
                <w:sz w:val="20"/>
                <w:szCs w:val="20"/>
                <w:color w:val="auto"/>
              </w:rPr>
            </w:pPr>
            <w:r>
              <w:rPr>
                <w:rFonts w:ascii="Arial" w:cs="Arial" w:eastAsia="Arial" w:hAnsi="Arial"/>
                <w:sz w:val="18"/>
                <w:szCs w:val="18"/>
                <w:color w:val="auto"/>
              </w:rPr>
              <w:t>Short and long-term borrowings and debt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648"/>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w w:val="99"/>
              </w:rPr>
              <w:t>37</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6020"/>
        <w:spacing w:after="0" w:line="572"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Derivative financial instruments for hedging purposes (continued) </w:t>
      </w:r>
      <w:r>
        <w:rPr>
          <w:rFonts w:ascii="Arial" w:cs="Arial" w:eastAsia="Arial" w:hAnsi="Arial"/>
          <w:sz w:val="16"/>
          <w:szCs w:val="16"/>
          <w:u w:val="single" w:color="auto"/>
          <w:color w:val="auto"/>
        </w:rPr>
        <w:t>Derivatives financial position and performance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26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December 31, 2017</w:t>
            </w:r>
          </w:p>
        </w:tc>
      </w:tr>
      <w:tr>
        <w:trPr>
          <w:trHeight w:val="191"/>
        </w:trPr>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0"/>
              </w:rPr>
              <w:t>Accumulated</w:t>
            </w:r>
          </w:p>
        </w:tc>
        <w:tc>
          <w:tcPr>
            <w:tcW w:w="100" w:type="dxa"/>
            <w:vAlign w:val="bottom"/>
          </w:tcPr>
          <w:p>
            <w:pPr>
              <w:spacing w:after="0"/>
              <w:rPr>
                <w:sz w:val="16"/>
                <w:szCs w:val="16"/>
                <w:color w:val="auto"/>
              </w:rPr>
            </w:pPr>
          </w:p>
        </w:tc>
        <w:tc>
          <w:tcPr>
            <w:tcW w:w="416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Carrying</w:t>
            </w: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fair value</w:t>
            </w:r>
          </w:p>
        </w:tc>
        <w:tc>
          <w:tcPr>
            <w:tcW w:w="100" w:type="dxa"/>
            <w:vAlign w:val="bottom"/>
          </w:tcPr>
          <w:p>
            <w:pPr>
              <w:spacing w:after="0"/>
              <w:rPr>
                <w:sz w:val="18"/>
                <w:szCs w:val="18"/>
                <w:color w:val="auto"/>
              </w:rPr>
            </w:pPr>
          </w:p>
        </w:tc>
        <w:tc>
          <w:tcPr>
            <w:tcW w:w="4160" w:type="dxa"/>
            <w:vAlign w:val="bottom"/>
          </w:tcPr>
          <w:p>
            <w:pPr>
              <w:jc w:val="center"/>
              <w:spacing w:after="0"/>
              <w:rPr>
                <w:sz w:val="20"/>
                <w:szCs w:val="20"/>
                <w:color w:val="auto"/>
              </w:rPr>
            </w:pPr>
            <w:r>
              <w:rPr>
                <w:rFonts w:ascii="Arial" w:cs="Arial" w:eastAsia="Arial" w:hAnsi="Arial"/>
                <w:sz w:val="18"/>
                <w:szCs w:val="18"/>
                <w:b w:val="1"/>
                <w:bCs w:val="1"/>
                <w:color w:val="auto"/>
                <w:w w:val="90"/>
              </w:rPr>
              <w:t>Line item in the statement of financial</w:t>
            </w:r>
          </w:p>
        </w:tc>
      </w:tr>
      <w:tr>
        <w:trPr>
          <w:trHeight w:val="234"/>
        </w:trPr>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amount</w:t>
            </w: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adjustments</w:t>
            </w:r>
          </w:p>
        </w:tc>
        <w:tc>
          <w:tcPr>
            <w:tcW w:w="100" w:type="dxa"/>
            <w:vAlign w:val="bottom"/>
          </w:tcPr>
          <w:p>
            <w:pPr>
              <w:spacing w:after="0"/>
              <w:rPr>
                <w:sz w:val="20"/>
                <w:szCs w:val="20"/>
                <w:color w:val="auto"/>
              </w:rPr>
            </w:pPr>
          </w:p>
        </w:tc>
        <w:tc>
          <w:tcPr>
            <w:tcW w:w="4160" w:type="dxa"/>
            <w:vAlign w:val="bottom"/>
          </w:tcPr>
          <w:p>
            <w:pPr>
              <w:jc w:val="center"/>
              <w:spacing w:after="0"/>
              <w:rPr>
                <w:sz w:val="20"/>
                <w:szCs w:val="20"/>
                <w:color w:val="auto"/>
              </w:rPr>
            </w:pPr>
            <w:r>
              <w:rPr>
                <w:rFonts w:ascii="Arial" w:cs="Arial" w:eastAsia="Arial" w:hAnsi="Arial"/>
                <w:sz w:val="18"/>
                <w:szCs w:val="18"/>
                <w:b w:val="1"/>
                <w:bCs w:val="1"/>
                <w:color w:val="auto"/>
                <w:w w:val="88"/>
              </w:rPr>
              <w:t>position</w:t>
            </w:r>
          </w:p>
        </w:tc>
      </w:tr>
      <w:tr>
        <w:trPr>
          <w:trHeight w:val="210"/>
        </w:trPr>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160" w:type="dxa"/>
            <w:vAlign w:val="bottom"/>
            <w:tcBorders>
              <w:top w:val="single" w:sz="8" w:color="auto"/>
            </w:tcBorders>
            <w:shd w:val="clear" w:color="auto" w:fill="CCEEFF"/>
          </w:tcPr>
          <w:p>
            <w:pPr>
              <w:spacing w:after="0"/>
              <w:rPr>
                <w:sz w:val="18"/>
                <w:szCs w:val="18"/>
                <w:color w:val="auto"/>
              </w:rPr>
            </w:pPr>
          </w:p>
        </w:tc>
      </w:tr>
      <w:tr>
        <w:trPr>
          <w:trHeight w:val="216"/>
        </w:trPr>
        <w:tc>
          <w:tcPr>
            <w:tcW w:w="3940" w:type="dxa"/>
            <w:vAlign w:val="bottom"/>
            <w:gridSpan w:val="2"/>
          </w:tcPr>
          <w:p>
            <w:pPr>
              <w:ind w:left="160"/>
              <w:spacing w:after="0"/>
              <w:rPr>
                <w:sz w:val="20"/>
                <w:szCs w:val="20"/>
                <w:color w:val="auto"/>
              </w:rPr>
            </w:pPr>
            <w:r>
              <w:rPr>
                <w:rFonts w:ascii="Arial" w:cs="Arial" w:eastAsia="Arial" w:hAnsi="Arial"/>
                <w:sz w:val="18"/>
                <w:szCs w:val="18"/>
                <w:color w:val="auto"/>
              </w:rPr>
              <w:t>Loans</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Loans</w:t>
            </w:r>
          </w:p>
        </w:tc>
      </w:tr>
      <w:tr>
        <w:trPr>
          <w:trHeight w:val="216"/>
        </w:trPr>
        <w:tc>
          <w:tcPr>
            <w:tcW w:w="39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Issuances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355,000</w:t>
            </w: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(4,411)</w:t>
            </w:r>
          </w:p>
        </w:tc>
        <w:tc>
          <w:tcPr>
            <w:tcW w:w="42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Short and long-term borrowings and debt</w:t>
            </w: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160" w:type="dxa"/>
            <w:vAlign w:val="bottom"/>
          </w:tcPr>
          <w:p>
            <w:pPr>
              <w:spacing w:after="0"/>
              <w:rPr>
                <w:sz w:val="18"/>
                <w:szCs w:val="18"/>
                <w:color w:val="auto"/>
              </w:rPr>
            </w:pPr>
          </w:p>
        </w:tc>
      </w:tr>
      <w:tr>
        <w:trPr>
          <w:trHeight w:val="216"/>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interest rate risk:</w:t>
            </w: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r>
      <w:tr>
        <w:trPr>
          <w:trHeight w:val="216"/>
        </w:trPr>
        <w:tc>
          <w:tcPr>
            <w:tcW w:w="3940" w:type="dxa"/>
            <w:vAlign w:val="bottom"/>
            <w:gridSpan w:val="2"/>
          </w:tcPr>
          <w:p>
            <w:pPr>
              <w:ind w:left="160"/>
              <w:spacing w:after="0"/>
              <w:rPr>
                <w:sz w:val="20"/>
                <w:szCs w:val="20"/>
                <w:color w:val="auto"/>
              </w:rPr>
            </w:pPr>
            <w:r>
              <w:rPr>
                <w:rFonts w:ascii="Arial" w:cs="Arial" w:eastAsia="Arial" w:hAnsi="Arial"/>
                <w:sz w:val="18"/>
                <w:szCs w:val="18"/>
                <w:color w:val="auto"/>
              </w:rPr>
              <w:t>Securities at FVOCI</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12,369</w:t>
            </w:r>
          </w:p>
        </w:tc>
        <w:tc>
          <w:tcPr>
            <w:tcW w:w="1320" w:type="dxa"/>
            <w:vAlign w:val="bottom"/>
            <w:gridSpan w:val="2"/>
          </w:tcPr>
          <w:p>
            <w:pPr>
              <w:jc w:val="right"/>
              <w:ind w:right="60"/>
              <w:spacing w:after="0"/>
              <w:rPr>
                <w:sz w:val="20"/>
                <w:szCs w:val="20"/>
                <w:color w:val="auto"/>
              </w:rPr>
            </w:pPr>
            <w:r>
              <w:rPr>
                <w:rFonts w:ascii="Arial" w:cs="Arial" w:eastAsia="Arial" w:hAnsi="Arial"/>
                <w:sz w:val="18"/>
                <w:szCs w:val="18"/>
                <w:color w:val="auto"/>
              </w:rPr>
              <w:t>(32)</w:t>
            </w: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Securities at FVOCI</w:t>
            </w:r>
          </w:p>
        </w:tc>
      </w:tr>
      <w:tr>
        <w:trPr>
          <w:trHeight w:val="216"/>
        </w:trPr>
        <w:tc>
          <w:tcPr>
            <w:tcW w:w="39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25,027</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744</w:t>
            </w:r>
          </w:p>
        </w:tc>
        <w:tc>
          <w:tcPr>
            <w:tcW w:w="42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Loans</w:t>
            </w:r>
          </w:p>
        </w:tc>
      </w:tr>
      <w:tr>
        <w:trPr>
          <w:trHeight w:val="230"/>
        </w:trPr>
        <w:tc>
          <w:tcPr>
            <w:tcW w:w="3940" w:type="dxa"/>
            <w:vAlign w:val="bottom"/>
            <w:gridSpan w:val="2"/>
          </w:tcPr>
          <w:p>
            <w:pPr>
              <w:ind w:left="160"/>
              <w:spacing w:after="0"/>
              <w:rPr>
                <w:sz w:val="20"/>
                <w:szCs w:val="20"/>
                <w:color w:val="auto"/>
              </w:rPr>
            </w:pPr>
            <w:r>
              <w:rPr>
                <w:rFonts w:ascii="Arial" w:cs="Arial" w:eastAsia="Arial" w:hAnsi="Arial"/>
                <w:sz w:val="18"/>
                <w:szCs w:val="18"/>
                <w:color w:val="auto"/>
              </w:rPr>
              <w:t>Issuances</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(249,328)</w:t>
            </w:r>
          </w:p>
        </w:tc>
        <w:tc>
          <w:tcPr>
            <w:tcW w:w="1320" w:type="dxa"/>
            <w:vAlign w:val="bottom"/>
            <w:gridSpan w:val="2"/>
          </w:tcPr>
          <w:p>
            <w:pPr>
              <w:jc w:val="right"/>
              <w:ind w:right="60"/>
              <w:spacing w:after="0"/>
              <w:rPr>
                <w:sz w:val="20"/>
                <w:szCs w:val="20"/>
                <w:color w:val="auto"/>
              </w:rPr>
            </w:pPr>
            <w:r>
              <w:rPr>
                <w:rFonts w:ascii="Arial" w:cs="Arial" w:eastAsia="Arial" w:hAnsi="Arial"/>
                <w:sz w:val="18"/>
                <w:szCs w:val="18"/>
                <w:color w:val="auto"/>
              </w:rPr>
              <w:t>(2,301)</w:t>
            </w: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Short and long-term borrowings and debt</w:t>
            </w:r>
          </w:p>
        </w:tc>
      </w:tr>
    </w:tbl>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details the profile of the timing of the nominal amount of the hedging instrument: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60" w:type="dxa"/>
            <w:vAlign w:val="bottom"/>
            <w:tcBorders>
              <w:bottom w:val="single" w:sz="8" w:color="auto"/>
            </w:tcBorders>
            <w:gridSpan w:val="4"/>
          </w:tcPr>
          <w:p>
            <w:pPr>
              <w:jc w:val="right"/>
              <w:ind w:right="1000"/>
              <w:spacing w:after="0"/>
              <w:rPr>
                <w:sz w:val="20"/>
                <w:szCs w:val="20"/>
                <w:color w:val="auto"/>
              </w:rPr>
            </w:pPr>
            <w:r>
              <w:rPr>
                <w:rFonts w:ascii="Arial" w:cs="Arial" w:eastAsia="Arial" w:hAnsi="Arial"/>
                <w:sz w:val="18"/>
                <w:szCs w:val="18"/>
                <w:b w:val="1"/>
                <w:bCs w:val="1"/>
                <w:color w:val="auto"/>
              </w:rPr>
              <w:t>September 30, 2018</w:t>
            </w:r>
          </w:p>
        </w:tc>
        <w:tc>
          <w:tcPr>
            <w:tcW w:w="14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3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Foreign exchange</w:t>
            </w: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Foreign</w:t>
            </w:r>
          </w:p>
        </w:tc>
        <w:tc>
          <w:tcPr>
            <w:tcW w:w="16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Interest rate</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and Interest</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50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Exchange risk</w:t>
            </w:r>
          </w:p>
        </w:tc>
        <w:tc>
          <w:tcPr>
            <w:tcW w:w="1620" w:type="dxa"/>
            <w:vAlign w:val="bottom"/>
            <w:gridSpan w:val="2"/>
          </w:tcPr>
          <w:p>
            <w:pPr>
              <w:jc w:val="right"/>
              <w:ind w:right="780"/>
              <w:spacing w:after="0"/>
              <w:rPr>
                <w:sz w:val="20"/>
                <w:szCs w:val="20"/>
                <w:color w:val="auto"/>
              </w:rPr>
            </w:pPr>
            <w:r>
              <w:rPr>
                <w:rFonts w:ascii="Arial" w:cs="Arial" w:eastAsia="Arial" w:hAnsi="Arial"/>
                <w:sz w:val="18"/>
                <w:szCs w:val="18"/>
                <w:b w:val="1"/>
                <w:bCs w:val="1"/>
                <w:color w:val="auto"/>
              </w:rPr>
              <w:t>risk</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rate risk</w:t>
            </w:r>
          </w:p>
        </w:tc>
        <w:tc>
          <w:tcPr>
            <w:tcW w:w="1520" w:type="dxa"/>
            <w:vAlign w:val="bottom"/>
            <w:gridSpan w:val="2"/>
          </w:tcPr>
          <w:p>
            <w:pPr>
              <w:ind w:left="5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0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77,500</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77,500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0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52,103</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165,000</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217,103</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94,324</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96,500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73,193</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264,017</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0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101,884</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463,000</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564,884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3,964</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89,000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31,142</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124,106</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50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68,768</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68,768</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252,275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891,000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173,103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1,316,378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color w:val="auto"/>
              </w:rPr>
              <w:t>38</w:t>
            </w: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8"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602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Derivative financial instruments for hedging purposes (continued) </w:t>
      </w:r>
      <w:r>
        <w:rPr>
          <w:rFonts w:ascii="Arial" w:cs="Arial" w:eastAsia="Arial" w:hAnsi="Arial"/>
          <w:sz w:val="16"/>
          <w:szCs w:val="16"/>
          <w:u w:val="single" w:color="auto"/>
          <w:color w:val="auto"/>
        </w:rPr>
        <w:t>Derivatives financial position and performance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Analysis of maturity of the derivatives by type of risk covered: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60" w:type="dxa"/>
            <w:vAlign w:val="bottom"/>
            <w:tcBorders>
              <w:bottom w:val="single" w:sz="8" w:color="auto"/>
            </w:tcBorders>
            <w:gridSpan w:val="4"/>
          </w:tcPr>
          <w:p>
            <w:pPr>
              <w:jc w:val="right"/>
              <w:ind w:right="1020"/>
              <w:spacing w:after="0"/>
              <w:rPr>
                <w:sz w:val="20"/>
                <w:szCs w:val="20"/>
                <w:color w:val="auto"/>
              </w:rPr>
            </w:pPr>
            <w:r>
              <w:rPr>
                <w:rFonts w:ascii="Arial" w:cs="Arial" w:eastAsia="Arial" w:hAnsi="Arial"/>
                <w:sz w:val="18"/>
                <w:szCs w:val="18"/>
                <w:b w:val="1"/>
                <w:bCs w:val="1"/>
                <w:color w:val="auto"/>
              </w:rPr>
              <w:t>December 31, 2017</w:t>
            </w:r>
          </w:p>
        </w:tc>
        <w:tc>
          <w:tcPr>
            <w:tcW w:w="14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43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Foreign exchange</w:t>
            </w: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4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Foreign</w:t>
            </w:r>
          </w:p>
        </w:tc>
        <w:tc>
          <w:tcPr>
            <w:tcW w:w="16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Interest rate</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and Interest</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450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Exchange risk</w:t>
            </w:r>
          </w:p>
        </w:tc>
        <w:tc>
          <w:tcPr>
            <w:tcW w:w="1620" w:type="dxa"/>
            <w:vAlign w:val="bottom"/>
            <w:gridSpan w:val="2"/>
          </w:tcPr>
          <w:p>
            <w:pPr>
              <w:jc w:val="right"/>
              <w:ind w:right="780"/>
              <w:spacing w:after="0"/>
              <w:rPr>
                <w:sz w:val="20"/>
                <w:szCs w:val="20"/>
                <w:color w:val="auto"/>
              </w:rPr>
            </w:pPr>
            <w:r>
              <w:rPr>
                <w:rFonts w:ascii="Arial" w:cs="Arial" w:eastAsia="Arial" w:hAnsi="Arial"/>
                <w:sz w:val="18"/>
                <w:szCs w:val="18"/>
                <w:b w:val="1"/>
                <w:bCs w:val="1"/>
                <w:color w:val="auto"/>
              </w:rPr>
              <w:t>risk</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rate risk</w:t>
            </w:r>
          </w:p>
        </w:tc>
        <w:tc>
          <w:tcPr>
            <w:tcW w:w="1520" w:type="dxa"/>
            <w:vAlign w:val="bottom"/>
            <w:gridSpan w:val="2"/>
          </w:tcPr>
          <w:p>
            <w:pPr>
              <w:ind w:left="520"/>
              <w:spacing w:after="0"/>
              <w:rPr>
                <w:sz w:val="20"/>
                <w:szCs w:val="20"/>
                <w:color w:val="auto"/>
              </w:rPr>
            </w:pPr>
            <w:r>
              <w:rPr>
                <w:rFonts w:ascii="Arial" w:cs="Arial" w:eastAsia="Arial" w:hAnsi="Arial"/>
                <w:sz w:val="18"/>
                <w:szCs w:val="18"/>
                <w:b w:val="1"/>
                <w:bCs w:val="1"/>
                <w:color w:val="auto"/>
              </w:rPr>
              <w:t>Total</w:t>
            </w:r>
          </w:p>
        </w:tc>
      </w:tr>
      <w:tr>
        <w:trPr>
          <w:trHeight w:val="210"/>
        </w:trPr>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69,459</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69,459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50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26,104</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26,104</w:t>
            </w:r>
          </w:p>
        </w:tc>
      </w:tr>
      <w:tr>
        <w:trPr>
          <w:trHeight w:val="216"/>
        </w:trPr>
        <w:tc>
          <w:tcPr>
            <w:tcW w:w="4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1,729</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185,000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16,821</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203,550</w:t>
            </w:r>
          </w:p>
        </w:tc>
      </w:tr>
      <w:tr>
        <w:trPr>
          <w:trHeight w:val="216"/>
        </w:trPr>
        <w:tc>
          <w:tcPr>
            <w:tcW w:w="450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16,567</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137,500</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154,067</w:t>
            </w:r>
          </w:p>
        </w:tc>
      </w:tr>
      <w:tr>
        <w:trPr>
          <w:trHeight w:val="216"/>
        </w:trPr>
        <w:tc>
          <w:tcPr>
            <w:tcW w:w="4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68,952</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202,500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8,127</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279,579</w:t>
            </w:r>
          </w:p>
        </w:tc>
      </w:tr>
      <w:tr>
        <w:trPr>
          <w:trHeight w:val="216"/>
        </w:trPr>
        <w:tc>
          <w:tcPr>
            <w:tcW w:w="450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178,331</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21,500</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73,193</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273,024</w:t>
            </w:r>
          </w:p>
        </w:tc>
      </w:tr>
      <w:tr>
        <w:trPr>
          <w:trHeight w:val="216"/>
        </w:trPr>
        <w:tc>
          <w:tcPr>
            <w:tcW w:w="4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4,413</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416,000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24,872</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445,285</w:t>
            </w:r>
          </w:p>
        </w:tc>
      </w:tr>
      <w:tr>
        <w:trPr>
          <w:trHeight w:val="230"/>
        </w:trPr>
        <w:tc>
          <w:tcPr>
            <w:tcW w:w="450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76,049</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76,049</w:t>
            </w:r>
          </w:p>
        </w:tc>
      </w:tr>
      <w:tr>
        <w:trPr>
          <w:trHeight w:val="223"/>
        </w:trPr>
        <w:tc>
          <w:tcPr>
            <w:tcW w:w="4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365,555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962,500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199,062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1,527,117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7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5.4 years.</w:t>
      </w:r>
    </w:p>
    <w:p>
      <w:pPr>
        <w:spacing w:after="0" w:line="248"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recognized the lifetime associated cost of the foreign exchange forward agreements into interest income, as an adjustment to the yield on hedge items creating an accumulated reserve in OCI, reclassified to profit or loss at its’ maturity. The Bank estimates that approximately $190, are expected to be reclassified into profit or loss during the twelve-month year ending September 30, 2019.</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recognized the lifetime associated cost of the foreign exchange forward agreements into interest expense, as an adjustment to the yield on hedge items creating an accumulated reserve in OCI, reclassified to profit or loss at its’ maturity. The Bank estimates that approximately $2,899, are expected to be reclassified into profit or loss during the twelve-month year ending September 30, 2019.</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602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Derivative financial instruments for hedging purposes (continued) </w:t>
      </w:r>
      <w:r>
        <w:rPr>
          <w:rFonts w:ascii="Arial" w:cs="Arial" w:eastAsia="Arial" w:hAnsi="Arial"/>
          <w:sz w:val="16"/>
          <w:szCs w:val="16"/>
          <w:u w:val="single" w:color="auto"/>
          <w:color w:val="auto"/>
        </w:rPr>
        <w:t>Types of Derivatives and Foreign Exchange Instruments</w:t>
      </w: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8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8" w:lineRule="exact"/>
        <w:rPr>
          <w:rFonts w:ascii="Arial" w:cs="Arial" w:eastAsia="Arial" w:hAnsi="Arial"/>
          <w:sz w:val="18"/>
          <w:szCs w:val="18"/>
          <w:b w:val="1"/>
          <w:bCs w:val="1"/>
          <w:color w:val="auto"/>
        </w:rPr>
      </w:pPr>
    </w:p>
    <w:p>
      <w:pPr>
        <w:jc w:val="both"/>
        <w:ind w:left="340" w:right="2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980" w:hanging="324"/>
        <w:spacing w:after="0"/>
        <w:tabs>
          <w:tab w:leader="none" w:pos="980" w:val="left"/>
        </w:tabs>
        <w:numPr>
          <w:ilvl w:val="0"/>
          <w:numId w:val="47"/>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9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4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580" w:type="dxa"/>
            <w:vAlign w:val="bottom"/>
            <w:tcBorders>
              <w:top w:val="single" w:sz="8" w:color="auto"/>
            </w:tcBorders>
            <w:gridSpan w:val="4"/>
          </w:tcPr>
          <w:p>
            <w:pPr>
              <w:jc w:val="right"/>
              <w:ind w:right="280"/>
              <w:spacing w:after="0" w:line="191" w:lineRule="exact"/>
              <w:rPr>
                <w:sz w:val="20"/>
                <w:szCs w:val="20"/>
                <w:color w:val="auto"/>
              </w:rPr>
            </w:pPr>
            <w:r>
              <w:rPr>
                <w:rFonts w:ascii="Arial" w:cs="Arial" w:eastAsia="Arial" w:hAnsi="Arial"/>
                <w:sz w:val="18"/>
                <w:szCs w:val="18"/>
                <w:b w:val="1"/>
                <w:bCs w:val="1"/>
                <w:color w:val="auto"/>
                <w:w w:val="91"/>
              </w:rPr>
              <w:t>Gross amounts not offset in</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580" w:type="dxa"/>
            <w:vAlign w:val="bottom"/>
            <w:gridSpan w:val="4"/>
          </w:tcPr>
          <w:p>
            <w:pPr>
              <w:jc w:val="right"/>
              <w:ind w:right="300"/>
              <w:spacing w:after="0"/>
              <w:rPr>
                <w:sz w:val="20"/>
                <w:szCs w:val="20"/>
                <w:color w:val="auto"/>
              </w:rPr>
            </w:pPr>
            <w:r>
              <w:rPr>
                <w:rFonts w:ascii="Arial" w:cs="Arial" w:eastAsia="Arial" w:hAnsi="Arial"/>
                <w:sz w:val="18"/>
                <w:szCs w:val="18"/>
                <w:b w:val="1"/>
                <w:bCs w:val="1"/>
                <w:color w:val="auto"/>
                <w:w w:val="93"/>
              </w:rPr>
              <w:t>the consolidated statement</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29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80" w:type="dxa"/>
            <w:vAlign w:val="bottom"/>
            <w:gridSpan w:val="4"/>
          </w:tcPr>
          <w:p>
            <w:pPr>
              <w:jc w:val="right"/>
              <w:ind w:right="560"/>
              <w:spacing w:after="0"/>
              <w:rPr>
                <w:sz w:val="20"/>
                <w:szCs w:val="20"/>
                <w:color w:val="auto"/>
              </w:rPr>
            </w:pPr>
            <w:r>
              <w:rPr>
                <w:rFonts w:ascii="Arial" w:cs="Arial" w:eastAsia="Arial" w:hAnsi="Arial"/>
                <w:sz w:val="18"/>
                <w:szCs w:val="18"/>
                <w:b w:val="1"/>
                <w:bCs w:val="1"/>
                <w:color w:val="auto"/>
              </w:rPr>
              <w:t>of financial position</w:t>
            </w: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r>
      <w:tr>
        <w:trPr>
          <w:trHeight w:val="191"/>
        </w:trPr>
        <w:tc>
          <w:tcPr>
            <w:tcW w:w="34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Gross</w:t>
            </w:r>
          </w:p>
        </w:tc>
        <w:tc>
          <w:tcPr>
            <w:tcW w:w="13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statement of</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00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received</w:t>
            </w:r>
          </w:p>
        </w:tc>
        <w:tc>
          <w:tcPr>
            <w:tcW w:w="11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29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8"/>
              </w:rPr>
              <w:t>Derivative financial instruments used</w:t>
            </w:r>
          </w:p>
        </w:tc>
        <w:tc>
          <w:tcPr>
            <w:tcW w:w="10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44"/>
        </w:trPr>
        <w:tc>
          <w:tcPr>
            <w:tcW w:w="340" w:type="dxa"/>
            <w:vAlign w:val="bottom"/>
          </w:tcPr>
          <w:p>
            <w:pPr>
              <w:spacing w:after="0"/>
              <w:rPr>
                <w:sz w:val="21"/>
                <w:szCs w:val="21"/>
                <w:color w:val="auto"/>
              </w:rPr>
            </w:pPr>
          </w:p>
        </w:tc>
        <w:tc>
          <w:tcPr>
            <w:tcW w:w="30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w w:val="94"/>
              </w:rPr>
              <w:t>for hedging – receivable – at fair value</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3,391</w:t>
            </w:r>
          </w:p>
        </w:tc>
        <w:tc>
          <w:tcPr>
            <w:tcW w:w="1140" w:type="dxa"/>
            <w:vAlign w:val="bottom"/>
            <w:shd w:val="clear" w:color="auto" w:fill="CCEEFF"/>
          </w:tcPr>
          <w:p>
            <w:pPr>
              <w:jc w:val="center"/>
              <w:ind w:left="990"/>
              <w:spacing w:after="0"/>
              <w:rPr>
                <w:sz w:val="20"/>
                <w:szCs w:val="20"/>
                <w:color w:val="auto"/>
              </w:rPr>
            </w:pPr>
            <w:r>
              <w:rPr>
                <w:rFonts w:ascii="Arial" w:cs="Arial" w:eastAsia="Arial" w:hAnsi="Arial"/>
                <w:sz w:val="18"/>
                <w:szCs w:val="18"/>
                <w:color w:val="auto"/>
                <w:w w:val="99"/>
              </w:rPr>
              <w:t>-</w:t>
            </w:r>
          </w:p>
        </w:tc>
        <w:tc>
          <w:tcPr>
            <w:tcW w:w="220" w:type="dxa"/>
            <w:vAlign w:val="bottom"/>
            <w:shd w:val="clear" w:color="auto" w:fill="CCEEFF"/>
          </w:tcPr>
          <w:p>
            <w:pPr>
              <w:spacing w:after="0"/>
              <w:rPr>
                <w:sz w:val="21"/>
                <w:szCs w:val="21"/>
                <w:color w:val="auto"/>
              </w:rPr>
            </w:pP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3,391</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(2,188)</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1,203</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3,391</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center"/>
              <w:ind w:left="99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3,391</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(2,188</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center"/>
              <w:ind w:left="730"/>
              <w:spacing w:after="0"/>
              <w:rPr>
                <w:sz w:val="20"/>
                <w:szCs w:val="20"/>
                <w:color w:val="auto"/>
              </w:rPr>
            </w:pPr>
            <w:r>
              <w:rPr>
                <w:rFonts w:ascii="Arial" w:cs="Arial" w:eastAsia="Arial" w:hAnsi="Arial"/>
                <w:sz w:val="18"/>
                <w:szCs w:val="18"/>
                <w:color w:val="auto"/>
                <w:w w:val="89"/>
              </w:rPr>
              <w:t>40</w:t>
            </w: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8"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 (continued)</w:t>
      </w:r>
    </w:p>
    <w:p>
      <w:pPr>
        <w:spacing w:after="0" w:line="229" w:lineRule="exact"/>
        <w:rPr>
          <w:rFonts w:ascii="Arial" w:cs="Arial" w:eastAsia="Arial" w:hAnsi="Arial"/>
          <w:sz w:val="18"/>
          <w:szCs w:val="18"/>
          <w:b w:val="1"/>
          <w:bCs w:val="1"/>
          <w:color w:val="auto"/>
        </w:rPr>
      </w:pPr>
    </w:p>
    <w:p>
      <w:pPr>
        <w:ind w:left="980" w:hanging="324"/>
        <w:spacing w:after="0"/>
        <w:tabs>
          <w:tab w:leader="none" w:pos="980" w:val="left"/>
        </w:tabs>
        <w:numPr>
          <w:ilvl w:val="1"/>
          <w:numId w:val="48"/>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 (continued)</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29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4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580" w:type="dxa"/>
            <w:vAlign w:val="bottom"/>
            <w:tcBorders>
              <w:top w:val="single" w:sz="8" w:color="auto"/>
            </w:tcBorders>
            <w:gridSpan w:val="4"/>
          </w:tcPr>
          <w:p>
            <w:pPr>
              <w:jc w:val="center"/>
              <w:ind w:right="120"/>
              <w:spacing w:after="0" w:line="191" w:lineRule="exact"/>
              <w:rPr>
                <w:sz w:val="20"/>
                <w:szCs w:val="20"/>
                <w:color w:val="auto"/>
              </w:rPr>
            </w:pPr>
            <w:r>
              <w:rPr>
                <w:rFonts w:ascii="Arial" w:cs="Arial" w:eastAsia="Arial" w:hAnsi="Arial"/>
                <w:sz w:val="18"/>
                <w:szCs w:val="18"/>
                <w:b w:val="1"/>
                <w:bCs w:val="1"/>
                <w:color w:val="auto"/>
                <w:w w:val="87"/>
              </w:rPr>
              <w:t>Gross amounts not offset in</w:t>
            </w:r>
          </w:p>
        </w:tc>
        <w:tc>
          <w:tcPr>
            <w:tcW w:w="10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r>
      <w:tr>
        <w:trPr>
          <w:trHeight w:val="216"/>
        </w:trPr>
        <w:tc>
          <w:tcPr>
            <w:tcW w:w="2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the consolidated statement of</w:t>
            </w:r>
          </w:p>
        </w:tc>
        <w:tc>
          <w:tcPr>
            <w:tcW w:w="10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48"/>
        </w:trPr>
        <w:tc>
          <w:tcPr>
            <w:tcW w:w="29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financial position</w:t>
            </w:r>
          </w:p>
        </w:tc>
        <w:tc>
          <w:tcPr>
            <w:tcW w:w="10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191"/>
        </w:trPr>
        <w:tc>
          <w:tcPr>
            <w:tcW w:w="29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Gross</w:t>
            </w:r>
          </w:p>
        </w:tc>
        <w:tc>
          <w:tcPr>
            <w:tcW w:w="13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statement of</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Net</w:t>
            </w:r>
          </w:p>
        </w:tc>
      </w:tr>
      <w:tr>
        <w:trPr>
          <w:trHeight w:val="234"/>
        </w:trPr>
        <w:tc>
          <w:tcPr>
            <w:tcW w:w="300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received</w:t>
            </w:r>
          </w:p>
        </w:tc>
        <w:tc>
          <w:tcPr>
            <w:tcW w:w="1180" w:type="dxa"/>
            <w:vAlign w:val="bottom"/>
            <w:gridSpan w:val="3"/>
          </w:tcPr>
          <w:p>
            <w:pPr>
              <w:jc w:val="right"/>
              <w:ind w:right="320"/>
              <w:spacing w:after="0"/>
              <w:rPr>
                <w:sz w:val="20"/>
                <w:szCs w:val="20"/>
                <w:color w:val="auto"/>
              </w:rPr>
            </w:pPr>
            <w:r>
              <w:rPr>
                <w:rFonts w:ascii="Arial" w:cs="Arial" w:eastAsia="Arial" w:hAnsi="Arial"/>
                <w:sz w:val="18"/>
                <w:szCs w:val="18"/>
                <w:b w:val="1"/>
                <w:bCs w:val="1"/>
                <w:color w:val="auto"/>
              </w:rPr>
              <w:t>Amount</w:t>
            </w:r>
          </w:p>
        </w:tc>
      </w:tr>
      <w:tr>
        <w:trPr>
          <w:trHeight w:val="195"/>
        </w:trPr>
        <w:tc>
          <w:tcPr>
            <w:tcW w:w="29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8"/>
              </w:rPr>
              <w:t>Derivative financial instruments used</w:t>
            </w:r>
          </w:p>
        </w:tc>
        <w:tc>
          <w:tcPr>
            <w:tcW w:w="10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r>
      <w:tr>
        <w:trPr>
          <w:trHeight w:val="244"/>
        </w:trPr>
        <w:tc>
          <w:tcPr>
            <w:tcW w:w="30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w w:val="94"/>
              </w:rPr>
              <w:t>for hedging – receivable – at fair value</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13,338</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13,338</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(22,304)</w:t>
            </w:r>
          </w:p>
        </w:tc>
        <w:tc>
          <w:tcPr>
            <w:tcW w:w="11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(8,966)</w:t>
            </w:r>
          </w:p>
        </w:tc>
      </w:tr>
      <w:tr>
        <w:trPr>
          <w:trHeight w:val="223"/>
        </w:trPr>
        <w:tc>
          <w:tcPr>
            <w:tcW w:w="3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(22,304</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(8,966</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40" w:type="dxa"/>
            <w:vAlign w:val="bottom"/>
            <w:tcBorders>
              <w:bottom w:val="single" w:sz="8" w:color="auto"/>
            </w:tcBorders>
            <w:gridSpan w:val="2"/>
          </w:tcPr>
          <w:p>
            <w:pPr>
              <w:jc w:val="center"/>
              <w:ind w:right="60"/>
              <w:spacing w:after="0"/>
              <w:rPr>
                <w:sz w:val="20"/>
                <w:szCs w:val="20"/>
                <w:color w:val="auto"/>
              </w:rPr>
            </w:pPr>
            <w:r>
              <w:rPr>
                <w:rFonts w:ascii="Arial" w:cs="Arial" w:eastAsia="Arial" w:hAnsi="Arial"/>
                <w:sz w:val="18"/>
                <w:szCs w:val="18"/>
                <w:b w:val="1"/>
                <w:bCs w:val="1"/>
                <w:color w:val="auto"/>
                <w:w w:val="89"/>
              </w:rPr>
              <w:t>September 30, 2018</w:t>
            </w:r>
          </w:p>
        </w:tc>
        <w:tc>
          <w:tcPr>
            <w:tcW w:w="15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5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Gross amounts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980" w:type="dxa"/>
            <w:vAlign w:val="bottom"/>
            <w:gridSpan w:val="2"/>
          </w:tcPr>
          <w:p>
            <w:pPr>
              <w:ind w:left="2500"/>
              <w:spacing w:after="0"/>
              <w:rPr>
                <w:sz w:val="20"/>
                <w:szCs w:val="20"/>
                <w:color w:val="auto"/>
              </w:rPr>
            </w:pPr>
            <w:r>
              <w:rPr>
                <w:rFonts w:ascii="Arial" w:cs="Arial" w:eastAsia="Arial" w:hAnsi="Arial"/>
                <w:sz w:val="18"/>
                <w:szCs w:val="18"/>
                <w:b w:val="1"/>
                <w:bCs w:val="1"/>
                <w:color w:val="auto"/>
              </w:rPr>
              <w:t>Description</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1"/>
              </w:rPr>
              <w:t>of assets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 position</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7"/>
              </w:rPr>
              <w:t>Derivative financial instruments used for hedging – receivable – at fair value</w:t>
            </w: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3,391</w:t>
            </w:r>
          </w:p>
        </w:tc>
        <w:tc>
          <w:tcPr>
            <w:tcW w:w="22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3,391</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9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3,391</w:t>
            </w:r>
          </w:p>
        </w:tc>
        <w:tc>
          <w:tcPr>
            <w:tcW w:w="220" w:type="dxa"/>
            <w:vAlign w:val="bottom"/>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3,391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5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gridSpan w:val="2"/>
          </w:tcPr>
          <w:p>
            <w:pPr>
              <w:jc w:val="center"/>
              <w:ind w:right="60"/>
              <w:spacing w:after="0"/>
              <w:rPr>
                <w:sz w:val="20"/>
                <w:szCs w:val="20"/>
                <w:color w:val="auto"/>
              </w:rPr>
            </w:pPr>
            <w:r>
              <w:rPr>
                <w:rFonts w:ascii="Arial" w:cs="Arial" w:eastAsia="Arial" w:hAnsi="Arial"/>
                <w:sz w:val="18"/>
                <w:szCs w:val="18"/>
                <w:b w:val="1"/>
                <w:bCs w:val="1"/>
                <w:color w:val="auto"/>
                <w:w w:val="90"/>
              </w:rPr>
              <w:t>December 31, 2017</w:t>
            </w:r>
          </w:p>
        </w:tc>
        <w:tc>
          <w:tcPr>
            <w:tcW w:w="15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5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Gross amounts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980" w:type="dxa"/>
            <w:vAlign w:val="bottom"/>
            <w:gridSpan w:val="2"/>
          </w:tcPr>
          <w:p>
            <w:pPr>
              <w:ind w:left="2500"/>
              <w:spacing w:after="0"/>
              <w:rPr>
                <w:sz w:val="20"/>
                <w:szCs w:val="20"/>
                <w:color w:val="auto"/>
              </w:rPr>
            </w:pPr>
            <w:r>
              <w:rPr>
                <w:rFonts w:ascii="Arial" w:cs="Arial" w:eastAsia="Arial" w:hAnsi="Arial"/>
                <w:sz w:val="18"/>
                <w:szCs w:val="18"/>
                <w:b w:val="1"/>
                <w:bCs w:val="1"/>
                <w:color w:val="auto"/>
              </w:rPr>
              <w:t>Description</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1"/>
              </w:rPr>
              <w:t>of assets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 position</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7"/>
              </w:rPr>
              <w:t>Derivative financial instruments used for hedging – receivable – at fair value</w:t>
            </w: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13,338</w:t>
            </w:r>
          </w:p>
        </w:tc>
        <w:tc>
          <w:tcPr>
            <w:tcW w:w="22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13,338</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9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880" w:type="dxa"/>
            <w:vAlign w:val="bottom"/>
            <w:vMerge w:val="restart"/>
          </w:tcPr>
          <w:p>
            <w:pPr>
              <w:ind w:left="5280"/>
              <w:spacing w:after="0"/>
              <w:rPr>
                <w:sz w:val="20"/>
                <w:szCs w:val="20"/>
                <w:color w:val="auto"/>
              </w:rPr>
            </w:pPr>
            <w:r>
              <w:rPr>
                <w:rFonts w:ascii="Arial" w:cs="Arial" w:eastAsia="Arial" w:hAnsi="Arial"/>
                <w:sz w:val="18"/>
                <w:szCs w:val="18"/>
                <w:color w:val="auto"/>
              </w:rPr>
              <w:t>41</w:t>
            </w: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88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8"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 (continued)</w:t>
      </w:r>
    </w:p>
    <w:p>
      <w:pPr>
        <w:spacing w:after="0" w:line="229" w:lineRule="exact"/>
        <w:rPr>
          <w:rFonts w:ascii="Arial" w:cs="Arial" w:eastAsia="Arial" w:hAnsi="Arial"/>
          <w:sz w:val="18"/>
          <w:szCs w:val="18"/>
          <w:b w:val="1"/>
          <w:bCs w:val="1"/>
          <w:color w:val="auto"/>
        </w:rPr>
      </w:pPr>
    </w:p>
    <w:p>
      <w:pPr>
        <w:ind w:left="980" w:hanging="324"/>
        <w:spacing w:after="0"/>
        <w:tabs>
          <w:tab w:leader="none" w:pos="980" w:val="left"/>
        </w:tabs>
        <w:numPr>
          <w:ilvl w:val="1"/>
          <w:numId w:val="49"/>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0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Gross</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of liabilities</w:t>
            </w:r>
          </w:p>
        </w:tc>
        <w:tc>
          <w:tcPr>
            <w:tcW w:w="26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6"/>
              </w:rPr>
              <w:t>Gross amounts not offset</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presented</w:t>
            </w:r>
          </w:p>
        </w:tc>
        <w:tc>
          <w:tcPr>
            <w:tcW w:w="260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6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statement of financial</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30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4"/>
              </w:rPr>
              <w:t>Gross</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6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8"/>
              </w:rPr>
              <w:t>position</w:t>
            </w: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r>
      <w:tr>
        <w:trPr>
          <w:trHeight w:val="191"/>
        </w:trPr>
        <w:tc>
          <w:tcPr>
            <w:tcW w:w="340" w:type="dxa"/>
            <w:vAlign w:val="bottom"/>
          </w:tcPr>
          <w:p>
            <w:pPr>
              <w:spacing w:after="0"/>
              <w:rPr>
                <w:sz w:val="16"/>
                <w:szCs w:val="16"/>
                <w:color w:val="auto"/>
              </w:rPr>
            </w:pPr>
          </w:p>
        </w:tc>
        <w:tc>
          <w:tcPr>
            <w:tcW w:w="3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amounts</w:t>
            </w:r>
          </w:p>
        </w:tc>
        <w:tc>
          <w:tcPr>
            <w:tcW w:w="13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of</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financial</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200" w:type="dxa"/>
            <w:vAlign w:val="bottom"/>
            <w:gridSpan w:val="2"/>
          </w:tcPr>
          <w:p>
            <w:pPr>
              <w:ind w:left="1080"/>
              <w:spacing w:after="0"/>
              <w:rPr>
                <w:sz w:val="20"/>
                <w:szCs w:val="20"/>
                <w:color w:val="auto"/>
              </w:rPr>
            </w:pPr>
            <w:r>
              <w:rPr>
                <w:rFonts w:ascii="Arial" w:cs="Arial" w:eastAsia="Arial" w:hAnsi="Arial"/>
                <w:sz w:val="18"/>
                <w:szCs w:val="18"/>
                <w:b w:val="1"/>
                <w:bCs w:val="1"/>
                <w:color w:val="auto"/>
              </w:rPr>
              <w:t>Description</w:t>
            </w: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0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2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9"/>
              </w:rPr>
              <w:t>Derivative financial instruments used for</w:t>
            </w:r>
          </w:p>
        </w:tc>
        <w:tc>
          <w:tcPr>
            <w:tcW w:w="1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32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 – payable – at fair value</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26,394</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ind w:left="600"/>
              <w:spacing w:after="0"/>
              <w:rPr>
                <w:sz w:val="20"/>
                <w:szCs w:val="20"/>
                <w:color w:val="auto"/>
              </w:rPr>
            </w:pPr>
            <w:r>
              <w:rPr>
                <w:rFonts w:ascii="Arial" w:cs="Arial" w:eastAsia="Arial" w:hAnsi="Arial"/>
                <w:sz w:val="18"/>
                <w:szCs w:val="18"/>
                <w:color w:val="auto"/>
              </w:rPr>
              <w:t>26,394</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(24,421)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1,973</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2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26,394</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8"/>
                <w:szCs w:val="18"/>
                <w:b w:val="1"/>
                <w:bCs w:val="1"/>
                <w:color w:val="auto"/>
                <w:w w:val="83"/>
              </w:rPr>
              <w:t>26,394</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(24,421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1,973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gridSpan w:val="4"/>
          </w:tcPr>
          <w:p>
            <w:pPr>
              <w:ind w:left="200"/>
              <w:spacing w:after="0"/>
              <w:rPr>
                <w:sz w:val="20"/>
                <w:szCs w:val="20"/>
                <w:color w:val="auto"/>
              </w:rPr>
            </w:pPr>
            <w:r>
              <w:rPr>
                <w:rFonts w:ascii="Arial" w:cs="Arial" w:eastAsia="Arial" w:hAnsi="Arial"/>
                <w:sz w:val="18"/>
                <w:szCs w:val="18"/>
                <w:b w:val="1"/>
                <w:bCs w:val="1"/>
                <w:color w:val="auto"/>
              </w:rPr>
              <w:t>December 31, 2017</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Gross</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of liabilities</w:t>
            </w:r>
          </w:p>
        </w:tc>
        <w:tc>
          <w:tcPr>
            <w:tcW w:w="26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6"/>
              </w:rPr>
              <w:t>Gross amounts not offset</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presented</w:t>
            </w:r>
          </w:p>
        </w:tc>
        <w:tc>
          <w:tcPr>
            <w:tcW w:w="260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6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statement of financial</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30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4"/>
              </w:rPr>
              <w:t>Gross</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6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8"/>
              </w:rPr>
              <w:t>position</w:t>
            </w: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r>
      <w:tr>
        <w:trPr>
          <w:trHeight w:val="191"/>
        </w:trPr>
        <w:tc>
          <w:tcPr>
            <w:tcW w:w="340" w:type="dxa"/>
            <w:vAlign w:val="bottom"/>
          </w:tcPr>
          <w:p>
            <w:pPr>
              <w:spacing w:after="0"/>
              <w:rPr>
                <w:sz w:val="16"/>
                <w:szCs w:val="16"/>
                <w:color w:val="auto"/>
              </w:rPr>
            </w:pPr>
          </w:p>
        </w:tc>
        <w:tc>
          <w:tcPr>
            <w:tcW w:w="3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amounts</w:t>
            </w:r>
          </w:p>
        </w:tc>
        <w:tc>
          <w:tcPr>
            <w:tcW w:w="13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of</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financial</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200" w:type="dxa"/>
            <w:vAlign w:val="bottom"/>
            <w:gridSpan w:val="2"/>
          </w:tcPr>
          <w:p>
            <w:pPr>
              <w:ind w:left="1080"/>
              <w:spacing w:after="0"/>
              <w:rPr>
                <w:sz w:val="20"/>
                <w:szCs w:val="20"/>
                <w:color w:val="auto"/>
              </w:rPr>
            </w:pPr>
            <w:r>
              <w:rPr>
                <w:rFonts w:ascii="Arial" w:cs="Arial" w:eastAsia="Arial" w:hAnsi="Arial"/>
                <w:sz w:val="18"/>
                <w:szCs w:val="18"/>
                <w:b w:val="1"/>
                <w:bCs w:val="1"/>
                <w:color w:val="auto"/>
              </w:rPr>
              <w:t>Description</w:t>
            </w: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0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2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9"/>
              </w:rPr>
              <w:t>Derivative financial instruments used for</w:t>
            </w:r>
          </w:p>
        </w:tc>
        <w:tc>
          <w:tcPr>
            <w:tcW w:w="1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32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 – payable – at fair value</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34,943</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ind w:left="600"/>
              <w:spacing w:after="0"/>
              <w:rPr>
                <w:sz w:val="20"/>
                <w:szCs w:val="20"/>
                <w:color w:val="auto"/>
              </w:rPr>
            </w:pPr>
            <w:r>
              <w:rPr>
                <w:rFonts w:ascii="Arial" w:cs="Arial" w:eastAsia="Arial" w:hAnsi="Arial"/>
                <w:sz w:val="18"/>
                <w:szCs w:val="18"/>
                <w:color w:val="auto"/>
              </w:rPr>
              <w:t>34,943</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(50,241)</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(15,298)</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2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8"/>
                <w:szCs w:val="18"/>
                <w:b w:val="1"/>
                <w:bCs w:val="1"/>
                <w:color w:val="auto"/>
                <w:w w:val="83"/>
              </w:rPr>
              <w:t>34,943</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(50,241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(15,298</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42</w:t>
            </w: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Offsetting of financial assets and liabilities (continued)</w:t>
      </w:r>
    </w:p>
    <w:p>
      <w:pPr>
        <w:spacing w:after="0" w:line="229" w:lineRule="exact"/>
        <w:rPr>
          <w:sz w:val="20"/>
          <w:szCs w:val="20"/>
          <w:color w:val="auto"/>
        </w:rPr>
      </w:pPr>
    </w:p>
    <w:p>
      <w:pPr>
        <w:ind w:left="980" w:hanging="324"/>
        <w:spacing w:after="0"/>
        <w:tabs>
          <w:tab w:leader="none" w:pos="980" w:val="left"/>
        </w:tabs>
        <w:numPr>
          <w:ilvl w:val="0"/>
          <w:numId w:val="51"/>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September 30, 2018</w:t>
            </w:r>
          </w:p>
        </w:tc>
        <w:tc>
          <w:tcPr>
            <w:tcW w:w="8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5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6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80" w:type="dxa"/>
            <w:vAlign w:val="bottom"/>
          </w:tcPr>
          <w:p>
            <w:pPr>
              <w:spacing w:after="0"/>
              <w:rPr>
                <w:sz w:val="16"/>
                <w:szCs w:val="16"/>
                <w:color w:val="auto"/>
              </w:rPr>
            </w:pPr>
          </w:p>
        </w:tc>
        <w:tc>
          <w:tcPr>
            <w:tcW w:w="14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liabilities 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8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Gross amounts</w:t>
            </w:r>
          </w:p>
        </w:tc>
        <w:tc>
          <w:tcPr>
            <w:tcW w:w="120" w:type="dxa"/>
            <w:vAlign w:val="bottom"/>
          </w:tcPr>
          <w:p>
            <w:pPr>
              <w:spacing w:after="0"/>
              <w:rPr>
                <w:sz w:val="18"/>
                <w:szCs w:val="18"/>
                <w:color w:val="auto"/>
              </w:rPr>
            </w:pPr>
          </w:p>
        </w:tc>
        <w:tc>
          <w:tcPr>
            <w:tcW w:w="15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statement of</w:t>
            </w:r>
          </w:p>
        </w:tc>
        <w:tc>
          <w:tcPr>
            <w:tcW w:w="8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080" w:type="dxa"/>
            <w:vAlign w:val="bottom"/>
            <w:gridSpan w:val="2"/>
          </w:tcPr>
          <w:p>
            <w:pPr>
              <w:ind w:left="2540"/>
              <w:spacing w:after="0"/>
              <w:rPr>
                <w:sz w:val="20"/>
                <w:szCs w:val="20"/>
                <w:color w:val="auto"/>
              </w:rPr>
            </w:pPr>
            <w:r>
              <w:rPr>
                <w:rFonts w:ascii="Arial" w:cs="Arial" w:eastAsia="Arial" w:hAnsi="Arial"/>
                <w:sz w:val="18"/>
                <w:szCs w:val="18"/>
                <w:b w:val="1"/>
                <w:bCs w:val="1"/>
                <w:color w:val="auto"/>
              </w:rPr>
              <w:t>Description</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of liabilities</w:t>
            </w:r>
          </w:p>
        </w:tc>
        <w:tc>
          <w:tcPr>
            <w:tcW w:w="120" w:type="dxa"/>
            <w:vAlign w:val="bottom"/>
          </w:tcPr>
          <w:p>
            <w:pPr>
              <w:spacing w:after="0"/>
              <w:rPr>
                <w:sz w:val="20"/>
                <w:szCs w:val="20"/>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financial position</w:t>
            </w:r>
          </w:p>
        </w:tc>
        <w:tc>
          <w:tcPr>
            <w:tcW w:w="80" w:type="dxa"/>
            <w:vAlign w:val="bottom"/>
          </w:tcPr>
          <w:p>
            <w:pPr>
              <w:spacing w:after="0"/>
              <w:rPr>
                <w:sz w:val="20"/>
                <w:szCs w:val="20"/>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Derivative financial instruments:</w:t>
            </w: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0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payable – at fair value</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26,394</w:t>
            </w:r>
          </w:p>
        </w:tc>
        <w:tc>
          <w:tcPr>
            <w:tcW w:w="154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Pr>
          <w:p>
            <w:pPr>
              <w:spacing w:after="0"/>
              <w:rPr>
                <w:sz w:val="19"/>
                <w:szCs w:val="19"/>
                <w:color w:val="auto"/>
              </w:rPr>
            </w:pPr>
          </w:p>
        </w:tc>
        <w:tc>
          <w:tcPr>
            <w:tcW w:w="1660" w:type="dxa"/>
            <w:vAlign w:val="bottom"/>
            <w:gridSpan w:val="3"/>
          </w:tcPr>
          <w:p>
            <w:pPr>
              <w:jc w:val="right"/>
              <w:ind w:right="100"/>
              <w:spacing w:after="0"/>
              <w:rPr>
                <w:sz w:val="20"/>
                <w:szCs w:val="20"/>
                <w:color w:val="auto"/>
              </w:rPr>
            </w:pPr>
            <w:r>
              <w:rPr>
                <w:rFonts w:ascii="Arial" w:cs="Arial" w:eastAsia="Arial" w:hAnsi="Arial"/>
                <w:sz w:val="18"/>
                <w:szCs w:val="18"/>
                <w:color w:val="auto"/>
              </w:rPr>
              <w:t>26,394</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0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5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2"/>
          </w:tcPr>
          <w:p>
            <w:pPr>
              <w:jc w:val="center"/>
              <w:ind w:right="80"/>
              <w:spacing w:after="0"/>
              <w:rPr>
                <w:sz w:val="20"/>
                <w:szCs w:val="20"/>
                <w:color w:val="auto"/>
              </w:rPr>
            </w:pPr>
            <w:r>
              <w:rPr>
                <w:rFonts w:ascii="Arial" w:cs="Arial" w:eastAsia="Arial" w:hAnsi="Arial"/>
                <w:sz w:val="18"/>
                <w:szCs w:val="18"/>
                <w:b w:val="1"/>
                <w:bCs w:val="1"/>
                <w:color w:val="auto"/>
                <w:w w:val="88"/>
              </w:rPr>
              <w:t>December 31, 2017</w:t>
            </w:r>
          </w:p>
        </w:tc>
        <w:tc>
          <w:tcPr>
            <w:tcW w:w="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5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6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80" w:type="dxa"/>
            <w:vAlign w:val="bottom"/>
          </w:tcPr>
          <w:p>
            <w:pPr>
              <w:spacing w:after="0"/>
              <w:rPr>
                <w:sz w:val="16"/>
                <w:szCs w:val="16"/>
                <w:color w:val="auto"/>
              </w:rPr>
            </w:pPr>
          </w:p>
        </w:tc>
        <w:tc>
          <w:tcPr>
            <w:tcW w:w="14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liabilities 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8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Gross amounts</w:t>
            </w:r>
          </w:p>
        </w:tc>
        <w:tc>
          <w:tcPr>
            <w:tcW w:w="120" w:type="dxa"/>
            <w:vAlign w:val="bottom"/>
          </w:tcPr>
          <w:p>
            <w:pPr>
              <w:spacing w:after="0"/>
              <w:rPr>
                <w:sz w:val="18"/>
                <w:szCs w:val="18"/>
                <w:color w:val="auto"/>
              </w:rPr>
            </w:pPr>
          </w:p>
        </w:tc>
        <w:tc>
          <w:tcPr>
            <w:tcW w:w="15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statement of</w:t>
            </w:r>
          </w:p>
        </w:tc>
        <w:tc>
          <w:tcPr>
            <w:tcW w:w="8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080" w:type="dxa"/>
            <w:vAlign w:val="bottom"/>
            <w:gridSpan w:val="2"/>
          </w:tcPr>
          <w:p>
            <w:pPr>
              <w:ind w:left="2540"/>
              <w:spacing w:after="0"/>
              <w:rPr>
                <w:sz w:val="20"/>
                <w:szCs w:val="20"/>
                <w:color w:val="auto"/>
              </w:rPr>
            </w:pPr>
            <w:r>
              <w:rPr>
                <w:rFonts w:ascii="Arial" w:cs="Arial" w:eastAsia="Arial" w:hAnsi="Arial"/>
                <w:sz w:val="18"/>
                <w:szCs w:val="18"/>
                <w:b w:val="1"/>
                <w:bCs w:val="1"/>
                <w:color w:val="auto"/>
              </w:rPr>
              <w:t>Description</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of liabilities</w:t>
            </w:r>
          </w:p>
        </w:tc>
        <w:tc>
          <w:tcPr>
            <w:tcW w:w="120" w:type="dxa"/>
            <w:vAlign w:val="bottom"/>
          </w:tcPr>
          <w:p>
            <w:pPr>
              <w:spacing w:after="0"/>
              <w:rPr>
                <w:sz w:val="20"/>
                <w:szCs w:val="20"/>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financial position</w:t>
            </w:r>
          </w:p>
        </w:tc>
        <w:tc>
          <w:tcPr>
            <w:tcW w:w="80" w:type="dxa"/>
            <w:vAlign w:val="bottom"/>
          </w:tcPr>
          <w:p>
            <w:pPr>
              <w:spacing w:after="0"/>
              <w:rPr>
                <w:sz w:val="20"/>
                <w:szCs w:val="20"/>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Derivative financial instruments:</w:t>
            </w: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0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payable – at fair value</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34,943</w:t>
            </w:r>
          </w:p>
        </w:tc>
        <w:tc>
          <w:tcPr>
            <w:tcW w:w="154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Pr>
          <w:p>
            <w:pPr>
              <w:spacing w:after="0"/>
              <w:rPr>
                <w:sz w:val="19"/>
                <w:szCs w:val="19"/>
                <w:color w:val="auto"/>
              </w:rPr>
            </w:pPr>
          </w:p>
        </w:tc>
        <w:tc>
          <w:tcPr>
            <w:tcW w:w="1660" w:type="dxa"/>
            <w:vAlign w:val="bottom"/>
            <w:gridSpan w:val="3"/>
          </w:tcPr>
          <w:p>
            <w:pPr>
              <w:jc w:val="right"/>
              <w:ind w:right="100"/>
              <w:spacing w:after="0"/>
              <w:rPr>
                <w:sz w:val="20"/>
                <w:szCs w:val="20"/>
                <w:color w:val="auto"/>
              </w:rPr>
            </w:pPr>
            <w:r>
              <w:rPr>
                <w:rFonts w:ascii="Arial" w:cs="Arial" w:eastAsia="Arial" w:hAnsi="Arial"/>
                <w:sz w:val="18"/>
                <w:szCs w:val="18"/>
                <w:color w:val="auto"/>
              </w:rPr>
              <w:t>34,943</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0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980" w:type="dxa"/>
            <w:vAlign w:val="bottom"/>
            <w:vMerge w:val="restart"/>
          </w:tcPr>
          <w:p>
            <w:pPr>
              <w:ind w:left="5280"/>
              <w:spacing w:after="0"/>
              <w:rPr>
                <w:sz w:val="20"/>
                <w:szCs w:val="20"/>
                <w:color w:val="auto"/>
              </w:rPr>
            </w:pPr>
            <w:r>
              <w:rPr>
                <w:rFonts w:ascii="Arial" w:cs="Arial" w:eastAsia="Arial" w:hAnsi="Arial"/>
                <w:sz w:val="18"/>
                <w:szCs w:val="18"/>
                <w:color w:val="auto"/>
              </w:rPr>
              <w:t>43</w:t>
            </w: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98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loans commitments and financial guarantees contracts. These instruments involve, to varying degrees, elements of credit and market risk more than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loans commitments and financial guarantees contracts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78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7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7780" w:type="dxa"/>
            <w:vAlign w:val="bottom"/>
            <w:shd w:val="clear" w:color="auto" w:fill="CCEEFF"/>
          </w:tcPr>
          <w:p>
            <w:pPr>
              <w:spacing w:after="0"/>
              <w:rPr>
                <w:sz w:val="20"/>
                <w:szCs w:val="20"/>
                <w:color w:val="auto"/>
              </w:rPr>
            </w:pPr>
            <w:r>
              <w:rPr>
                <w:rFonts w:ascii="Arial" w:cs="Arial" w:eastAsia="Arial" w:hAnsi="Arial"/>
                <w:sz w:val="18"/>
                <w:szCs w:val="18"/>
                <w:color w:val="auto"/>
              </w:rPr>
              <w:t>Confirmed letters of credit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194,891</w:t>
            </w: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273,449</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780" w:type="dxa"/>
            <w:vAlign w:val="bottom"/>
          </w:tcPr>
          <w:p>
            <w:pPr>
              <w:spacing w:after="0"/>
              <w:rPr>
                <w:sz w:val="20"/>
                <w:szCs w:val="20"/>
                <w:color w:val="auto"/>
              </w:rPr>
            </w:pPr>
            <w:r>
              <w:rPr>
                <w:rFonts w:ascii="Arial" w:cs="Arial" w:eastAsia="Arial" w:hAnsi="Arial"/>
                <w:sz w:val="18"/>
                <w:szCs w:val="18"/>
                <w:color w:val="auto"/>
              </w:rPr>
              <w:t>Stand-by letters of credit and guaranteed – Commercial risk</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145,401</w:t>
            </w: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168,976</w:t>
            </w:r>
          </w:p>
        </w:tc>
        <w:tc>
          <w:tcPr>
            <w:tcW w:w="80" w:type="dxa"/>
            <w:vAlign w:val="bottom"/>
          </w:tcPr>
          <w:p>
            <w:pPr>
              <w:spacing w:after="0"/>
              <w:rPr>
                <w:sz w:val="18"/>
                <w:szCs w:val="18"/>
                <w:color w:val="auto"/>
              </w:rPr>
            </w:pPr>
          </w:p>
        </w:tc>
      </w:tr>
      <w:tr>
        <w:trPr>
          <w:trHeight w:val="230"/>
        </w:trPr>
        <w:tc>
          <w:tcPr>
            <w:tcW w:w="778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215,548</w:t>
            </w:r>
          </w:p>
        </w:tc>
        <w:tc>
          <w:tcPr>
            <w:tcW w:w="14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45,578</w:t>
            </w:r>
          </w:p>
        </w:tc>
        <w:tc>
          <w:tcPr>
            <w:tcW w:w="80" w:type="dxa"/>
            <w:vAlign w:val="bottom"/>
            <w:shd w:val="clear" w:color="auto" w:fill="CCEEFF"/>
          </w:tcPr>
          <w:p>
            <w:pPr>
              <w:spacing w:after="0"/>
              <w:rPr>
                <w:sz w:val="19"/>
                <w:szCs w:val="19"/>
                <w:color w:val="auto"/>
              </w:rPr>
            </w:pPr>
          </w:p>
        </w:tc>
      </w:tr>
      <w:tr>
        <w:trPr>
          <w:trHeight w:val="223"/>
        </w:trPr>
        <w:tc>
          <w:tcPr>
            <w:tcW w:w="7780" w:type="dxa"/>
            <w:vAlign w:val="bottom"/>
          </w:tcPr>
          <w:p>
            <w:pPr>
              <w:ind w:left="160"/>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555,840</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488,003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loans commitments and financial guarantees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78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420" w:type="dxa"/>
            <w:vAlign w:val="bottom"/>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420" w:type="dxa"/>
            <w:vAlign w:val="bottom"/>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7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433,239</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457,168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78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46,888</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257</w:t>
            </w:r>
          </w:p>
        </w:tc>
      </w:tr>
      <w:tr>
        <w:trPr>
          <w:trHeight w:val="216"/>
        </w:trPr>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75,713</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30,000</w:t>
            </w:r>
          </w:p>
        </w:tc>
      </w:tr>
      <w:tr>
        <w:trPr>
          <w:trHeight w:val="230"/>
        </w:trPr>
        <w:tc>
          <w:tcPr>
            <w:tcW w:w="778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578</w:t>
            </w:r>
          </w:p>
        </w:tc>
      </w:tr>
      <w:tr>
        <w:trPr>
          <w:trHeight w:val="223"/>
        </w:trPr>
        <w:tc>
          <w:tcPr>
            <w:tcW w:w="7780" w:type="dxa"/>
            <w:vAlign w:val="bottom"/>
            <w:tcBorders>
              <w:top w:val="single" w:sz="8" w:color="CCEEFF"/>
              <w:bottom w:val="single" w:sz="8" w:color="CCEEFF"/>
            </w:tcBorders>
            <w:gridSpan w:val="2"/>
            <w:shd w:val="clear" w:color="auto" w:fill="CCEEFF"/>
          </w:tcPr>
          <w:p>
            <w:pPr>
              <w:ind w:left="160"/>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555,840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commitments and financial guarantees contracts classified by issuer’s credit quality indicators are as follows:</w:t>
      </w:r>
    </w:p>
    <w:p>
      <w:pPr>
        <w:spacing w:after="0" w:line="221" w:lineRule="exact"/>
        <w:rPr>
          <w:sz w:val="20"/>
          <w:szCs w:val="20"/>
          <w:color w:val="auto"/>
        </w:rPr>
      </w:pPr>
    </w:p>
    <w:tbl>
      <w:tblPr>
        <w:tblLayout w:type="fixed"/>
        <w:tblInd w:w="1300" w:type="dxa"/>
        <w:tblCellMar>
          <w:top w:w="0" w:type="dxa"/>
          <w:left w:w="0" w:type="dxa"/>
          <w:bottom w:w="0" w:type="dxa"/>
          <w:right w:w="0" w:type="dxa"/>
        </w:tblCellMar>
      </w:tblPr>
      <w:tr>
        <w:trPr>
          <w:trHeight w:val="216"/>
        </w:trPr>
        <w:tc>
          <w:tcPr>
            <w:tcW w:w="4380" w:type="dxa"/>
            <w:vAlign w:val="bottom"/>
            <w:vMerge w:val="restart"/>
          </w:tcPr>
          <w:p>
            <w:pPr>
              <w:jc w:val="center"/>
              <w:ind w:left="111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2480" w:type="dxa"/>
            <w:vAlign w:val="bottom"/>
            <w:gridSpan w:val="3"/>
          </w:tcPr>
          <w:p>
            <w:pPr>
              <w:ind w:left="1260"/>
              <w:spacing w:after="0"/>
              <w:rPr>
                <w:sz w:val="20"/>
                <w:szCs w:val="20"/>
                <w:color w:val="auto"/>
              </w:rPr>
            </w:pPr>
            <w:r>
              <w:rPr>
                <w:rFonts w:ascii="Arial" w:cs="Arial" w:eastAsia="Arial" w:hAnsi="Arial"/>
                <w:sz w:val="18"/>
                <w:szCs w:val="18"/>
                <w:b w:val="1"/>
                <w:bCs w:val="1"/>
                <w:color w:val="auto"/>
                <w:w w:val="97"/>
              </w:rPr>
              <w:t>September 30,</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w w:val="93"/>
              </w:rPr>
              <w:t>December 31,</w:t>
            </w:r>
          </w:p>
        </w:tc>
        <w:tc>
          <w:tcPr>
            <w:tcW w:w="0" w:type="dxa"/>
            <w:vAlign w:val="bottom"/>
          </w:tcPr>
          <w:p>
            <w:pPr>
              <w:spacing w:after="0"/>
              <w:rPr>
                <w:sz w:val="1"/>
                <w:szCs w:val="1"/>
                <w:color w:val="auto"/>
              </w:rPr>
            </w:pPr>
          </w:p>
        </w:tc>
      </w:tr>
      <w:tr>
        <w:trPr>
          <w:trHeight w:val="234"/>
        </w:trPr>
        <w:tc>
          <w:tcPr>
            <w:tcW w:w="4380" w:type="dxa"/>
            <w:vAlign w:val="bottom"/>
            <w:vMerge w:val="continue"/>
          </w:tcPr>
          <w:p>
            <w:pPr>
              <w:spacing w:after="0"/>
              <w:rPr>
                <w:sz w:val="20"/>
                <w:szCs w:val="20"/>
                <w:color w:val="auto"/>
              </w:rPr>
            </w:pPr>
          </w:p>
        </w:tc>
        <w:tc>
          <w:tcPr>
            <w:tcW w:w="236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20" w:type="dxa"/>
            <w:vAlign w:val="bottom"/>
          </w:tcPr>
          <w:p>
            <w:pPr>
              <w:spacing w:after="0"/>
              <w:rPr>
                <w:sz w:val="20"/>
                <w:szCs w:val="20"/>
                <w:color w:val="auto"/>
              </w:rPr>
            </w:pPr>
          </w:p>
        </w:tc>
        <w:tc>
          <w:tcPr>
            <w:tcW w:w="1060" w:type="dxa"/>
            <w:vAlign w:val="bottom"/>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380" w:type="dxa"/>
            <w:vAlign w:val="bottom"/>
            <w:tcBorders>
              <w:top w:val="single" w:sz="8" w:color="CCEEFF"/>
            </w:tcBorders>
            <w:shd w:val="clear" w:color="auto" w:fill="CCEEFF"/>
          </w:tcPr>
          <w:p>
            <w:pPr>
              <w:jc w:val="center"/>
              <w:ind w:left="1090"/>
              <w:spacing w:after="0"/>
              <w:rPr>
                <w:sz w:val="20"/>
                <w:szCs w:val="20"/>
                <w:color w:val="auto"/>
              </w:rPr>
            </w:pPr>
            <w:r>
              <w:rPr>
                <w:rFonts w:ascii="Arial" w:cs="Arial" w:eastAsia="Arial" w:hAnsi="Arial"/>
                <w:sz w:val="18"/>
                <w:szCs w:val="18"/>
                <w:color w:val="auto"/>
                <w:w w:val="92"/>
              </w:rPr>
              <w:t>1-4</w:t>
            </w:r>
          </w:p>
        </w:tc>
        <w:tc>
          <w:tcPr>
            <w:tcW w:w="126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331,602</w:t>
            </w:r>
          </w:p>
        </w:tc>
        <w:tc>
          <w:tcPr>
            <w:tcW w:w="1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151,934</w:t>
            </w: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80" w:type="dxa"/>
            <w:vAlign w:val="bottom"/>
          </w:tcPr>
          <w:p>
            <w:pPr>
              <w:jc w:val="center"/>
              <w:ind w:left="1090"/>
              <w:spacing w:after="0"/>
              <w:rPr>
                <w:sz w:val="20"/>
                <w:szCs w:val="20"/>
                <w:color w:val="auto"/>
              </w:rPr>
            </w:pPr>
            <w:r>
              <w:rPr>
                <w:rFonts w:ascii="Arial" w:cs="Arial" w:eastAsia="Arial" w:hAnsi="Arial"/>
                <w:sz w:val="18"/>
                <w:szCs w:val="18"/>
                <w:color w:val="auto"/>
                <w:w w:val="92"/>
              </w:rPr>
              <w:t>5-6</w:t>
            </w:r>
          </w:p>
        </w:tc>
        <w:tc>
          <w:tcPr>
            <w:tcW w:w="2480" w:type="dxa"/>
            <w:vAlign w:val="bottom"/>
            <w:gridSpan w:val="3"/>
          </w:tcPr>
          <w:p>
            <w:pPr>
              <w:jc w:val="right"/>
              <w:ind w:right="120"/>
              <w:spacing w:after="0"/>
              <w:rPr>
                <w:sz w:val="20"/>
                <w:szCs w:val="20"/>
                <w:color w:val="auto"/>
              </w:rPr>
            </w:pPr>
            <w:r>
              <w:rPr>
                <w:rFonts w:ascii="Arial" w:cs="Arial" w:eastAsia="Arial" w:hAnsi="Arial"/>
                <w:sz w:val="18"/>
                <w:szCs w:val="18"/>
                <w:color w:val="auto"/>
              </w:rPr>
              <w:t>224,238</w:t>
            </w:r>
          </w:p>
        </w:tc>
        <w:tc>
          <w:tcPr>
            <w:tcW w:w="1060" w:type="dxa"/>
            <w:vAlign w:val="bottom"/>
          </w:tcPr>
          <w:p>
            <w:pPr>
              <w:jc w:val="right"/>
              <w:spacing w:after="0"/>
              <w:rPr>
                <w:sz w:val="20"/>
                <w:szCs w:val="20"/>
                <w:color w:val="auto"/>
              </w:rPr>
            </w:pPr>
            <w:r>
              <w:rPr>
                <w:rFonts w:ascii="Arial" w:cs="Arial" w:eastAsia="Arial" w:hAnsi="Arial"/>
                <w:sz w:val="18"/>
                <w:szCs w:val="18"/>
                <w:color w:val="auto"/>
              </w:rPr>
              <w:t>336,069</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80" w:type="dxa"/>
            <w:vAlign w:val="bottom"/>
            <w:shd w:val="clear" w:color="auto" w:fill="CCEEFF"/>
          </w:tcPr>
          <w:p>
            <w:pPr>
              <w:jc w:val="center"/>
              <w:ind w:left="1110"/>
              <w:spacing w:after="0"/>
              <w:rPr>
                <w:sz w:val="20"/>
                <w:szCs w:val="20"/>
                <w:color w:val="auto"/>
              </w:rPr>
            </w:pPr>
            <w:r>
              <w:rPr>
                <w:rFonts w:ascii="Arial" w:cs="Arial" w:eastAsia="Arial" w:hAnsi="Arial"/>
                <w:sz w:val="18"/>
                <w:szCs w:val="18"/>
                <w:color w:val="auto"/>
                <w:w w:val="99"/>
              </w:rPr>
              <w:t>7</w:t>
            </w:r>
          </w:p>
        </w:tc>
        <w:tc>
          <w:tcPr>
            <w:tcW w:w="24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80" w:type="dxa"/>
            <w:vAlign w:val="bottom"/>
          </w:tcPr>
          <w:p>
            <w:pPr>
              <w:jc w:val="center"/>
              <w:ind w:left="1110"/>
              <w:spacing w:after="0"/>
              <w:rPr>
                <w:sz w:val="20"/>
                <w:szCs w:val="20"/>
                <w:color w:val="auto"/>
              </w:rPr>
            </w:pPr>
            <w:r>
              <w:rPr>
                <w:rFonts w:ascii="Arial" w:cs="Arial" w:eastAsia="Arial" w:hAnsi="Arial"/>
                <w:sz w:val="18"/>
                <w:szCs w:val="18"/>
                <w:color w:val="auto"/>
                <w:w w:val="99"/>
              </w:rPr>
              <w:t>8</w:t>
            </w:r>
          </w:p>
        </w:tc>
        <w:tc>
          <w:tcPr>
            <w:tcW w:w="248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80" w:type="dxa"/>
            <w:vAlign w:val="bottom"/>
            <w:shd w:val="clear" w:color="auto" w:fill="CCEEFF"/>
          </w:tcPr>
          <w:p>
            <w:pPr>
              <w:jc w:val="center"/>
              <w:ind w:left="1110"/>
              <w:spacing w:after="0"/>
              <w:rPr>
                <w:sz w:val="20"/>
                <w:szCs w:val="20"/>
                <w:color w:val="auto"/>
              </w:rPr>
            </w:pPr>
            <w:r>
              <w:rPr>
                <w:rFonts w:ascii="Arial" w:cs="Arial" w:eastAsia="Arial" w:hAnsi="Arial"/>
                <w:sz w:val="18"/>
                <w:szCs w:val="18"/>
                <w:color w:val="auto"/>
                <w:w w:val="99"/>
              </w:rPr>
              <w:t>9</w:t>
            </w:r>
          </w:p>
        </w:tc>
        <w:tc>
          <w:tcPr>
            <w:tcW w:w="24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380" w:type="dxa"/>
            <w:vAlign w:val="bottom"/>
          </w:tcPr>
          <w:p>
            <w:pPr>
              <w:jc w:val="center"/>
              <w:ind w:left="1110"/>
              <w:spacing w:after="0"/>
              <w:rPr>
                <w:sz w:val="20"/>
                <w:szCs w:val="20"/>
                <w:color w:val="auto"/>
              </w:rPr>
            </w:pPr>
            <w:r>
              <w:rPr>
                <w:rFonts w:ascii="Arial" w:cs="Arial" w:eastAsia="Arial" w:hAnsi="Arial"/>
                <w:sz w:val="18"/>
                <w:szCs w:val="18"/>
                <w:color w:val="auto"/>
                <w:w w:val="89"/>
              </w:rPr>
              <w:t>10</w:t>
            </w:r>
          </w:p>
        </w:tc>
        <w:tc>
          <w:tcPr>
            <w:tcW w:w="248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380" w:type="dxa"/>
            <w:vAlign w:val="bottom"/>
            <w:tcBorders>
              <w:top w:val="single" w:sz="8" w:color="CCEEFF"/>
              <w:bottom w:val="single" w:sz="8" w:color="CCEEFF"/>
            </w:tcBorders>
            <w:shd w:val="clear" w:color="auto" w:fill="CCEEFF"/>
          </w:tcPr>
          <w:p>
            <w:pPr>
              <w:jc w:val="center"/>
              <w:ind w:left="1110"/>
              <w:spacing w:after="0"/>
              <w:rPr>
                <w:sz w:val="20"/>
                <w:szCs w:val="20"/>
                <w:color w:val="auto"/>
              </w:rPr>
            </w:pPr>
            <w:r>
              <w:rPr>
                <w:rFonts w:ascii="Arial" w:cs="Arial" w:eastAsia="Arial" w:hAnsi="Arial"/>
                <w:sz w:val="18"/>
                <w:szCs w:val="18"/>
                <w:color w:val="auto"/>
                <w:w w:val="94"/>
              </w:rPr>
              <w:t>Total</w:t>
            </w:r>
          </w:p>
        </w:tc>
        <w:tc>
          <w:tcPr>
            <w:tcW w:w="126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555,840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38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20" w:right="3420" w:hanging="3667"/>
        <w:spacing w:after="0" w:line="618" w:lineRule="auto"/>
        <w:tabs>
          <w:tab w:leader="none" w:pos="2273" w:val="left"/>
        </w:tabs>
        <w:numPr>
          <w:ilvl w:val="0"/>
          <w:numId w:val="53"/>
        </w:numPr>
        <w:rPr>
          <w:rFonts w:ascii="Arial" w:cs="Arial" w:eastAsia="Arial" w:hAnsi="Arial"/>
          <w:sz w:val="30"/>
          <w:szCs w:val="30"/>
          <w:color w:val="auto"/>
          <w:vertAlign w:val="superscript"/>
        </w:rPr>
      </w:pPr>
      <w:r>
        <w:rPr>
          <w:rFonts w:ascii="Arial" w:cs="Arial" w:eastAsia="Arial" w:hAnsi="Arial"/>
          <w:sz w:val="18"/>
          <w:szCs w:val="18"/>
          <w:color w:val="auto"/>
        </w:rPr>
        <w:t>Current ratings as of September 30, 2018 and December 31, 2017, respectively. 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2466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breakdown of the Bank’s loans commitments and financial guarantees contracts exposure by country risk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78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7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210"/>
        </w:trPr>
        <w:tc>
          <w:tcPr>
            <w:tcW w:w="7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45,652</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7,546</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Brazil</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50,000</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422</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425</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Chile</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15,000</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76,634</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91,020</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44,872</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19,848</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16,500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Ecuador</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44,872</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252,800</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176,219</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767</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4,900</w:t>
            </w:r>
          </w:p>
        </w:tc>
        <w:tc>
          <w:tcPr>
            <w:tcW w:w="1420" w:type="dxa"/>
            <w:vAlign w:val="bottom"/>
          </w:tcPr>
          <w:p>
            <w:pPr>
              <w:jc w:val="right"/>
              <w:spacing w:after="0"/>
              <w:rPr>
                <w:sz w:val="20"/>
                <w:szCs w:val="20"/>
                <w:color w:val="auto"/>
              </w:rPr>
            </w:pPr>
            <w:r>
              <w:rPr>
                <w:rFonts w:ascii="Arial" w:cs="Arial" w:eastAsia="Arial" w:hAnsi="Arial"/>
                <w:sz w:val="18"/>
                <w:szCs w:val="18"/>
                <w:color w:val="auto"/>
              </w:rPr>
              <w:t>11,788</w:t>
            </w: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11,700</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890</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Mexico</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550</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35,643</w:t>
            </w: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30,114</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31,260</w:t>
            </w:r>
          </w:p>
        </w:tc>
      </w:tr>
      <w:tr>
        <w:trPr>
          <w:trHeight w:val="216"/>
        </w:trPr>
        <w:tc>
          <w:tcPr>
            <w:tcW w:w="778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96,150</w:t>
            </w:r>
          </w:p>
        </w:tc>
        <w:tc>
          <w:tcPr>
            <w:tcW w:w="1420" w:type="dxa"/>
            <w:vAlign w:val="bottom"/>
          </w:tcPr>
          <w:p>
            <w:pPr>
              <w:jc w:val="right"/>
              <w:spacing w:after="0"/>
              <w:rPr>
                <w:sz w:val="20"/>
                <w:szCs w:val="20"/>
                <w:color w:val="auto"/>
              </w:rPr>
            </w:pPr>
            <w:r>
              <w:rPr>
                <w:rFonts w:ascii="Arial" w:cs="Arial" w:eastAsia="Arial" w:hAnsi="Arial"/>
                <w:sz w:val="18"/>
                <w:szCs w:val="18"/>
                <w:color w:val="auto"/>
              </w:rPr>
              <w:t>22</w:t>
            </w: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17,618</w:t>
            </w:r>
          </w:p>
        </w:tc>
      </w:tr>
      <w:tr>
        <w:trPr>
          <w:trHeight w:val="230"/>
        </w:trPr>
        <w:tc>
          <w:tcPr>
            <w:tcW w:w="7780" w:type="dxa"/>
            <w:vAlign w:val="bottom"/>
          </w:tcPr>
          <w:p>
            <w:pPr>
              <w:ind w:left="160"/>
              <w:spacing w:after="0"/>
              <w:rPr>
                <w:sz w:val="20"/>
                <w:szCs w:val="20"/>
                <w:color w:val="auto"/>
              </w:rPr>
            </w:pPr>
            <w:r>
              <w:rPr>
                <w:rFonts w:ascii="Arial" w:cs="Arial" w:eastAsia="Arial" w:hAnsi="Arial"/>
                <w:sz w:val="18"/>
                <w:szCs w:val="18"/>
                <w:color w:val="auto"/>
              </w:rPr>
              <w:t>Uruguay</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1,927</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3,176</w:t>
            </w:r>
          </w:p>
        </w:tc>
      </w:tr>
      <w:tr>
        <w:trPr>
          <w:trHeight w:val="223"/>
        </w:trPr>
        <w:tc>
          <w:tcPr>
            <w:tcW w:w="7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555,840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allowances for expected credit losses related to loans commitments and financial guarantees contracts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5,487</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6,845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(16)</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(3,893)</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(3,887)</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(1,178)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(1,473)</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(2,651)</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2017:</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(5,382)</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(6,538)</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2,912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2,912</w:t>
            </w: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September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3,114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4,633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w:t>
            </w:r>
          </w:p>
        </w:tc>
        <w:tc>
          <w:tcPr>
            <w:tcW w:w="1200" w:type="dxa"/>
            <w:vAlign w:val="bottom"/>
          </w:tcPr>
          <w:p>
            <w:pPr>
              <w:jc w:val="right"/>
              <w:spacing w:after="0"/>
              <w:rPr>
                <w:sz w:val="20"/>
                <w:szCs w:val="20"/>
                <w:color w:val="auto"/>
              </w:rPr>
            </w:pPr>
            <w:r>
              <w:rPr>
                <w:rFonts w:ascii="Arial" w:cs="Arial" w:eastAsia="Arial" w:hAnsi="Arial"/>
                <w:sz w:val="18"/>
                <w:szCs w:val="18"/>
                <w:color w:val="auto"/>
              </w:rPr>
              <w:t>1</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853</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799</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(971)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(971)</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2016:</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854</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1,241</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5,487</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6,845</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87" w:lineRule="exact"/>
        <w:rPr>
          <w:sz w:val="20"/>
          <w:szCs w:val="20"/>
          <w:color w:val="auto"/>
        </w:rPr>
      </w:pPr>
    </w:p>
    <w:p>
      <w:pPr>
        <w:ind w:left="980" w:hanging="324"/>
        <w:spacing w:after="0"/>
        <w:tabs>
          <w:tab w:leader="none" w:pos="980" w:val="left"/>
        </w:tabs>
        <w:numPr>
          <w:ilvl w:val="0"/>
          <w:numId w:val="56"/>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56"/>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980" w:hanging="324"/>
        <w:spacing w:after="0" w:line="186" w:lineRule="auto"/>
        <w:tabs>
          <w:tab w:leader="none" w:pos="980" w:val="left"/>
        </w:tabs>
        <w:numPr>
          <w:ilvl w:val="0"/>
          <w:numId w:val="56"/>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for expected credit losses on loans commitments and financial guarantees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Investment Properties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Investment properties are measured at fair value through profit or loss. The gains and losses resulting from fair value adjustments are recognized in the consolidated statements of profit or loss. A summary as follows:</w:t>
      </w:r>
    </w:p>
    <w:p>
      <w:pPr>
        <w:sectPr>
          <w:pgSz w:w="11900" w:h="16838" w:orient="portrait"/>
          <w:cols w:equalWidth="0" w:num="1">
            <w:col w:w="11420"/>
          </w:cols>
          <w:pgMar w:left="240" w:top="877"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 xml:space="preserve">Investment Properties </w:t>
      </w:r>
      <w:r>
        <w:rPr>
          <w:rFonts w:ascii="Arial" w:cs="Arial" w:eastAsia="Arial" w:hAnsi="Arial"/>
          <w:sz w:val="30"/>
          <w:szCs w:val="30"/>
          <w:b w:val="1"/>
          <w:bCs w:val="1"/>
          <w:color w:val="auto"/>
          <w:vertAlign w:val="superscript"/>
        </w:rPr>
        <w:t>(1)</w:t>
      </w:r>
    </w:p>
    <w:p>
      <w:pPr>
        <w:ind w:left="500"/>
        <w:spacing w:after="0"/>
        <w:rPr>
          <w:sz w:val="20"/>
          <w:szCs w:val="20"/>
          <w:color w:val="auto"/>
        </w:rPr>
      </w:pPr>
      <w:r>
        <w:rPr>
          <w:rFonts w:ascii="Arial" w:cs="Arial" w:eastAsia="Arial" w:hAnsi="Arial"/>
          <w:sz w:val="18"/>
          <w:szCs w:val="18"/>
          <w:color w:val="auto"/>
        </w:rPr>
        <w:t>Paraguay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 xml:space="preserve">Investment Properties </w:t>
      </w:r>
      <w:r>
        <w:rPr>
          <w:rFonts w:ascii="Arial" w:cs="Arial" w:eastAsia="Arial" w:hAnsi="Arial"/>
          <w:sz w:val="30"/>
          <w:szCs w:val="30"/>
          <w:b w:val="1"/>
          <w:bCs w:val="1"/>
          <w:color w:val="auto"/>
          <w:vertAlign w:val="superscript"/>
        </w:rPr>
        <w:t>(1)</w:t>
      </w:r>
    </w:p>
    <w:p>
      <w:pPr>
        <w:ind w:left="500"/>
        <w:spacing w:after="0"/>
        <w:rPr>
          <w:sz w:val="20"/>
          <w:szCs w:val="20"/>
          <w:color w:val="auto"/>
        </w:rPr>
      </w:pPr>
      <w:r>
        <w:rPr>
          <w:rFonts w:ascii="Arial" w:cs="Arial" w:eastAsia="Arial" w:hAnsi="Arial"/>
          <w:sz w:val="18"/>
          <w:szCs w:val="18"/>
          <w:color w:val="auto"/>
        </w:rPr>
        <w:t>Paraguay</w:t>
      </w:r>
    </w:p>
    <w:p>
      <w:pPr>
        <w:spacing w:after="0" w:line="384" w:lineRule="exact"/>
        <w:rPr>
          <w:sz w:val="20"/>
          <w:szCs w:val="20"/>
          <w:color w:val="auto"/>
        </w:rPr>
      </w:pPr>
    </w:p>
    <w:p>
      <w:pPr>
        <w:ind w:left="980" w:hanging="324"/>
        <w:spacing w:after="0"/>
        <w:tabs>
          <w:tab w:leader="none" w:pos="980" w:val="left"/>
        </w:tabs>
        <w:numPr>
          <w:ilvl w:val="1"/>
          <w:numId w:val="58"/>
        </w:numPr>
        <w:rPr>
          <w:rFonts w:ascii="Arial" w:cs="Arial" w:eastAsia="Arial" w:hAnsi="Arial"/>
          <w:sz w:val="26"/>
          <w:szCs w:val="26"/>
          <w:color w:val="auto"/>
          <w:vertAlign w:val="superscript"/>
        </w:rPr>
      </w:pPr>
      <w:r>
        <w:rPr>
          <w:rFonts w:ascii="Arial" w:cs="Arial" w:eastAsia="Arial" w:hAnsi="Arial"/>
          <w:sz w:val="16"/>
          <w:szCs w:val="16"/>
          <w:color w:val="auto"/>
        </w:rPr>
        <w:t>Other real estate owned as dation in payment.</w:t>
      </w:r>
    </w:p>
    <w:p>
      <w:pPr>
        <w:spacing w:after="0" w:line="197" w:lineRule="exact"/>
        <w:rPr>
          <w:rFonts w:ascii="Arial" w:cs="Arial" w:eastAsia="Arial" w:hAnsi="Arial"/>
          <w:sz w:val="26"/>
          <w:szCs w:val="26"/>
          <w:color w:val="auto"/>
          <w:vertAlign w:val="superscript"/>
        </w:rPr>
      </w:pPr>
    </w:p>
    <w:p>
      <w:pPr>
        <w:ind w:left="340" w:hanging="332"/>
        <w:spacing w:after="0"/>
        <w:tabs>
          <w:tab w:leader="none" w:pos="34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Accounts receivable</w:t>
      </w:r>
    </w:p>
    <w:p>
      <w:pPr>
        <w:spacing w:after="0" w:line="23" w:lineRule="exact"/>
        <w:rPr>
          <w:rFonts w:ascii="Arial" w:cs="Arial" w:eastAsia="Arial" w:hAnsi="Arial"/>
          <w:sz w:val="18"/>
          <w:szCs w:val="18"/>
          <w:b w:val="1"/>
          <w:bCs w:val="1"/>
          <w:color w:val="auto"/>
        </w:rPr>
      </w:pPr>
    </w:p>
    <w:p>
      <w:pPr>
        <w:ind w:left="340" w:right="2240"/>
        <w:spacing w:after="0" w:line="298" w:lineRule="auto"/>
        <w:rPr>
          <w:rFonts w:ascii="Arial" w:cs="Arial" w:eastAsia="Arial" w:hAnsi="Arial"/>
          <w:sz w:val="18"/>
          <w:szCs w:val="18"/>
          <w:b w:val="1"/>
          <w:bCs w:val="1"/>
          <w:color w:val="auto"/>
        </w:rPr>
      </w:pPr>
      <w:r>
        <w:rPr>
          <w:rFonts w:ascii="Arial" w:cs="Arial" w:eastAsia="Arial" w:hAnsi="Arial"/>
          <w:sz w:val="18"/>
          <w:szCs w:val="18"/>
          <w:color w:val="auto"/>
        </w:rPr>
        <w:t xml:space="preserve">IT projects under development </w:t>
      </w:r>
      <w:r>
        <w:rPr>
          <w:rFonts w:ascii="Arial" w:cs="Arial" w:eastAsia="Arial" w:hAnsi="Arial"/>
          <w:sz w:val="30"/>
          <w:szCs w:val="30"/>
          <w:color w:val="auto"/>
          <w:vertAlign w:val="superscript"/>
        </w:rPr>
        <w:t>(1)</w:t>
      </w:r>
      <w:r>
        <w:rPr>
          <w:rFonts w:ascii="Arial" w:cs="Arial" w:eastAsia="Arial" w:hAnsi="Arial"/>
          <w:sz w:val="18"/>
          <w:szCs w:val="18"/>
          <w:color w:val="auto"/>
        </w:rPr>
        <w:t xml:space="preserve"> Other </w:t>
      </w:r>
      <w:r>
        <w:rPr>
          <w:rFonts w:ascii="Arial" w:cs="Arial" w:eastAsia="Arial" w:hAnsi="Arial"/>
          <w:sz w:val="30"/>
          <w:szCs w:val="30"/>
          <w:color w:val="auto"/>
          <w:vertAlign w:val="superscript"/>
        </w:rPr>
        <w:t>(2)</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980"/>
        <w:spacing w:after="0"/>
        <w:rPr>
          <w:sz w:val="20"/>
          <w:szCs w:val="20"/>
          <w:color w:val="auto"/>
        </w:rPr>
      </w:pPr>
      <w:r>
        <w:rPr>
          <w:rFonts w:ascii="Arial" w:cs="Arial" w:eastAsia="Arial" w:hAnsi="Arial"/>
          <w:sz w:val="18"/>
          <w:szCs w:val="18"/>
          <w:b w:val="1"/>
          <w:bCs w:val="1"/>
          <w:color w:val="auto"/>
        </w:rPr>
        <w:t>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2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7"/>
              </w:rPr>
              <w:t>Carrying</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2"/>
              </w:rPr>
              <w:t>amount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Gross gain</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Gross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r>
      <w:tr>
        <w:trPr>
          <w:trHeight w:val="46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5,119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1,270</w:t>
            </w:r>
          </w:p>
        </w:tc>
        <w:tc>
          <w:tcPr>
            <w:tcW w:w="1200" w:type="dxa"/>
            <w:vAlign w:val="bottom"/>
          </w:tcPr>
          <w:p>
            <w:pPr>
              <w:jc w:val="right"/>
              <w:spacing w:after="0"/>
              <w:rPr>
                <w:sz w:val="20"/>
                <w:szCs w:val="20"/>
                <w:color w:val="auto"/>
              </w:rPr>
            </w:pPr>
            <w:r>
              <w:rPr>
                <w:rFonts w:ascii="Arial" w:cs="Arial" w:eastAsia="Arial" w:hAnsi="Arial"/>
                <w:sz w:val="18"/>
                <w:szCs w:val="18"/>
                <w:color w:val="auto"/>
              </w:rPr>
              <w:t>1,560</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2,289</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5,119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1,270</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1,560</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2,289</w:t>
            </w:r>
          </w:p>
        </w:tc>
      </w:tr>
      <w:tr>
        <w:trPr>
          <w:trHeight w:val="439"/>
        </w:trPr>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December 31, 2017</w:t>
            </w:r>
          </w:p>
        </w:tc>
        <w:tc>
          <w:tcPr>
            <w:tcW w:w="1200" w:type="dxa"/>
            <w:vAlign w:val="bottom"/>
            <w:tcBorders>
              <w:bottom w:val="single" w:sz="8" w:color="auto"/>
            </w:tcBorders>
          </w:tcPr>
          <w:p>
            <w:pPr>
              <w:spacing w:after="0"/>
              <w:rPr>
                <w:sz w:val="24"/>
                <w:szCs w:val="24"/>
                <w:color w:val="auto"/>
              </w:rPr>
            </w:pPr>
          </w:p>
        </w:tc>
      </w:tr>
      <w:tr>
        <w:trPr>
          <w:trHeight w:val="191"/>
        </w:trPr>
        <w:tc>
          <w:tcPr>
            <w:tcW w:w="14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rPr>
              <w:t>Initial</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recognition</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Gross gain</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Gross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r>
      <w:tr>
        <w:trPr>
          <w:trHeight w:val="46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5,119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5,119</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5,119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5,119</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-1491615</wp:posOffset>
            </wp:positionV>
            <wp:extent cx="6955155" cy="16319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-1183005</wp:posOffset>
            </wp:positionV>
            <wp:extent cx="6955155" cy="1460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-462280</wp:posOffset>
            </wp:positionV>
            <wp:extent cx="6955155" cy="16319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-153670</wp:posOffset>
            </wp:positionV>
            <wp:extent cx="6955155" cy="1460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tbl>
      <w:tblPr>
        <w:tblLayout w:type="fixed"/>
        <w:tblInd w:w="2400" w:type="dxa"/>
        <w:tblCellMar>
          <w:top w:w="0" w:type="dxa"/>
          <w:left w:w="0" w:type="dxa"/>
          <w:bottom w:w="0" w:type="dxa"/>
          <w:right w:w="0" w:type="dxa"/>
        </w:tblCellMar>
      </w:tblPr>
      <w:tr>
        <w:trPr>
          <w:trHeight w:val="216"/>
        </w:trPr>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44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20" w:type="dxa"/>
            <w:vAlign w:val="bottom"/>
          </w:tcPr>
          <w:p>
            <w:pPr>
              <w:spacing w:after="0"/>
              <w:rPr>
                <w:sz w:val="20"/>
                <w:szCs w:val="20"/>
                <w:color w:val="auto"/>
              </w:rPr>
            </w:pPr>
          </w:p>
        </w:tc>
      </w:tr>
      <w:tr>
        <w:trPr>
          <w:trHeight w:val="224"/>
        </w:trPr>
        <w:tc>
          <w:tcPr>
            <w:tcW w:w="1420" w:type="dxa"/>
            <w:vAlign w:val="bottom"/>
          </w:tcPr>
          <w:p>
            <w:pPr>
              <w:jc w:val="right"/>
              <w:spacing w:after="0"/>
              <w:rPr>
                <w:sz w:val="20"/>
                <w:szCs w:val="20"/>
                <w:color w:val="auto"/>
              </w:rPr>
            </w:pPr>
            <w:r>
              <w:rPr>
                <w:rFonts w:ascii="Arial" w:cs="Arial" w:eastAsia="Arial" w:hAnsi="Arial"/>
                <w:sz w:val="18"/>
                <w:szCs w:val="18"/>
                <w:color w:val="auto"/>
              </w:rPr>
              <w:t>4,219</w:t>
            </w:r>
          </w:p>
        </w:tc>
        <w:tc>
          <w:tcPr>
            <w:tcW w:w="22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6,793</w:t>
            </w:r>
          </w:p>
        </w:tc>
        <w:tc>
          <w:tcPr>
            <w:tcW w:w="20" w:type="dxa"/>
            <w:vAlign w:val="bottom"/>
          </w:tcPr>
          <w:p>
            <w:pPr>
              <w:spacing w:after="0"/>
              <w:rPr>
                <w:sz w:val="19"/>
                <w:szCs w:val="19"/>
                <w:color w:val="auto"/>
              </w:rPr>
            </w:pPr>
          </w:p>
        </w:tc>
      </w:tr>
      <w:tr>
        <w:trPr>
          <w:trHeight w:val="242"/>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394</w:t>
            </w: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1,405</w:t>
            </w:r>
          </w:p>
        </w:tc>
      </w:tr>
      <w:tr>
        <w:trPr>
          <w:trHeight w:val="27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3,048</w:t>
            </w: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5,510</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7,661</w:t>
            </w:r>
          </w:p>
        </w:tc>
        <w:tc>
          <w:tcPr>
            <w:tcW w:w="220" w:type="dxa"/>
            <w:vAlign w:val="bottom"/>
          </w:tcPr>
          <w:p>
            <w:pPr>
              <w:spacing w:after="0"/>
              <w:rPr>
                <w:sz w:val="19"/>
                <w:szCs w:val="19"/>
                <w:color w:val="auto"/>
              </w:rPr>
            </w:pPr>
          </w:p>
        </w:tc>
        <w:tc>
          <w:tcPr>
            <w:tcW w:w="14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13,708</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-659765</wp:posOffset>
            </wp:positionV>
            <wp:extent cx="6955155" cy="14605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-351155</wp:posOffset>
            </wp:positionV>
            <wp:extent cx="6955155" cy="17145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6955155" cy="1714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000" w:space="720"/>
            <w:col w:w="5700"/>
          </w:cols>
          <w:pgMar w:left="240" w:top="877" w:right="239" w:bottom="1440" w:gutter="0" w:footer="0" w:header="0"/>
          <w:type w:val="continuous"/>
        </w:sectPr>
      </w:pPr>
    </w:p>
    <w:p>
      <w:pPr>
        <w:spacing w:after="0" w:line="2" w:lineRule="exact"/>
        <w:rPr>
          <w:sz w:val="20"/>
          <w:szCs w:val="20"/>
          <w:color w:val="auto"/>
        </w:rPr>
      </w:pPr>
    </w:p>
    <w:p>
      <w:pPr>
        <w:ind w:left="980" w:hanging="324"/>
        <w:spacing w:after="0" w:line="194" w:lineRule="auto"/>
        <w:tabs>
          <w:tab w:leader="none" w:pos="980" w:val="left"/>
        </w:tabs>
        <w:numPr>
          <w:ilvl w:val="0"/>
          <w:numId w:val="60"/>
        </w:numPr>
        <w:rPr>
          <w:rFonts w:ascii="Arial" w:cs="Arial" w:eastAsia="Arial" w:hAnsi="Arial"/>
          <w:sz w:val="30"/>
          <w:szCs w:val="30"/>
          <w:color w:val="auto"/>
          <w:vertAlign w:val="superscript"/>
        </w:rPr>
      </w:pPr>
      <w:r>
        <w:rPr>
          <w:rFonts w:ascii="Arial" w:cs="Arial" w:eastAsia="Arial" w:hAnsi="Arial"/>
          <w:sz w:val="18"/>
          <w:szCs w:val="18"/>
          <w:color w:val="auto"/>
        </w:rPr>
        <w:t>As of September 30, 2018 the Bank derecognized the amount of $0.8 million related to a IT projects under development, outstanding as of December 31, 2017, in the consolidated financial statement of profit or loss as Impairment loss in Other Assets.</w:t>
      </w:r>
    </w:p>
    <w:p>
      <w:pPr>
        <w:spacing w:after="0" w:line="202" w:lineRule="exact"/>
        <w:rPr>
          <w:rFonts w:ascii="Arial" w:cs="Arial" w:eastAsia="Arial" w:hAnsi="Arial"/>
          <w:sz w:val="30"/>
          <w:szCs w:val="30"/>
          <w:color w:val="auto"/>
          <w:vertAlign w:val="superscript"/>
        </w:rPr>
      </w:pPr>
    </w:p>
    <w:p>
      <w:pPr>
        <w:ind w:left="980" w:right="20" w:hanging="324"/>
        <w:spacing w:after="0" w:line="194" w:lineRule="auto"/>
        <w:tabs>
          <w:tab w:leader="none" w:pos="980" w:val="left"/>
        </w:tabs>
        <w:numPr>
          <w:ilvl w:val="0"/>
          <w:numId w:val="60"/>
        </w:numPr>
        <w:rPr>
          <w:rFonts w:ascii="Arial" w:cs="Arial" w:eastAsia="Arial" w:hAnsi="Arial"/>
          <w:sz w:val="30"/>
          <w:szCs w:val="30"/>
          <w:color w:val="auto"/>
          <w:vertAlign w:val="superscript"/>
        </w:rPr>
      </w:pPr>
      <w:r>
        <w:rPr>
          <w:rFonts w:ascii="Arial" w:cs="Arial" w:eastAsia="Arial" w:hAnsi="Arial"/>
          <w:sz w:val="18"/>
          <w:szCs w:val="18"/>
          <w:color w:val="auto"/>
        </w:rPr>
        <w:t>As of September 30, 2018 the Bank derecognized the amount of $1.7 million related to a leasing under development, outstanding as of December 31, 2017, in the consolidated financial statement of profit or loss as Impairment loss in Other Assets.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type w:val="continuous"/>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920" w:type="dxa"/>
            <w:vAlign w:val="bottom"/>
            <w:gridSpan w:val="3"/>
          </w:tcPr>
          <w:p>
            <w:pPr>
              <w:jc w:val="right"/>
              <w:ind w:right="6850"/>
              <w:spacing w:after="0"/>
              <w:rPr>
                <w:sz w:val="20"/>
                <w:szCs w:val="20"/>
                <w:color w:val="auto"/>
              </w:rPr>
            </w:pPr>
            <w:r>
              <w:rPr>
                <w:rFonts w:ascii="Arial" w:cs="Arial" w:eastAsia="Arial" w:hAnsi="Arial"/>
                <w:sz w:val="18"/>
                <w:szCs w:val="18"/>
                <w:b w:val="1"/>
                <w:bCs w:val="1"/>
                <w:color w:val="auto"/>
                <w:w w:val="94"/>
              </w:rPr>
              <w:t>9.  Deposits</w:t>
            </w:r>
          </w:p>
        </w:tc>
        <w:tc>
          <w:tcPr>
            <w:tcW w:w="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7580" w:type="dxa"/>
            <w:vAlign w:val="bottom"/>
            <w:gridSpan w:val="2"/>
          </w:tcPr>
          <w:p>
            <w:pPr>
              <w:spacing w:after="0"/>
              <w:rPr>
                <w:sz w:val="20"/>
                <w:szCs w:val="20"/>
                <w:color w:val="auto"/>
              </w:rPr>
            </w:pPr>
            <w:r>
              <w:rPr>
                <w:rFonts w:ascii="Arial" w:cs="Arial" w:eastAsia="Arial" w:hAnsi="Arial"/>
                <w:sz w:val="18"/>
                <w:szCs w:val="18"/>
                <w:color w:val="auto"/>
              </w:rPr>
              <w:t>The maturity profile of the Bank’s deposits is as follows:</w:t>
            </w: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gridSpan w:val="5"/>
          </w:tcPr>
          <w:p>
            <w:pPr>
              <w:jc w:val="center"/>
              <w:ind w:right="320"/>
              <w:spacing w:after="0"/>
              <w:rPr>
                <w:sz w:val="20"/>
                <w:szCs w:val="20"/>
                <w:color w:val="auto"/>
              </w:rPr>
            </w:pPr>
            <w:r>
              <w:rPr>
                <w:rFonts w:ascii="Arial" w:cs="Arial" w:eastAsia="Arial" w:hAnsi="Arial"/>
                <w:sz w:val="18"/>
                <w:szCs w:val="18"/>
                <w:b w:val="1"/>
                <w:bCs w:val="1"/>
                <w:color w:val="auto"/>
                <w:w w:val="89"/>
              </w:rPr>
              <w:t>September 30,</w:t>
            </w:r>
          </w:p>
        </w:tc>
        <w:tc>
          <w:tcPr>
            <w:tcW w:w="14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800" w:type="dxa"/>
            <w:vAlign w:val="bottom"/>
            <w:tcBorders>
              <w:bottom w:val="single" w:sz="8" w:color="CCEEFF"/>
            </w:tcBorders>
          </w:tcPr>
          <w:p>
            <w:pPr>
              <w:spacing w:after="0"/>
              <w:rPr>
                <w:sz w:val="20"/>
                <w:szCs w:val="20"/>
                <w:color w:val="auto"/>
              </w:rPr>
            </w:pPr>
          </w:p>
        </w:tc>
        <w:tc>
          <w:tcPr>
            <w:tcW w:w="78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center"/>
              <w:ind w:right="33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gridSpan w:val="2"/>
          </w:tcPr>
          <w:p>
            <w:pPr>
              <w:jc w:val="center"/>
              <w:ind w:right="30"/>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5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Demand</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78,131</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82,064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gridSpan w:val="2"/>
          </w:tcPr>
          <w:p>
            <w:pPr>
              <w:ind w:left="20"/>
              <w:spacing w:after="0"/>
              <w:rPr>
                <w:sz w:val="20"/>
                <w:szCs w:val="20"/>
                <w:color w:val="auto"/>
              </w:rPr>
            </w:pPr>
            <w:r>
              <w:rPr>
                <w:rFonts w:ascii="Arial" w:cs="Arial" w:eastAsia="Arial" w:hAnsi="Arial"/>
                <w:sz w:val="18"/>
                <w:szCs w:val="18"/>
                <w:color w:val="auto"/>
              </w:rPr>
              <w:t>Up to 1 month</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1,107,071</w:t>
            </w:r>
          </w:p>
        </w:tc>
        <w:tc>
          <w:tcPr>
            <w:tcW w:w="100" w:type="dxa"/>
            <w:vAlign w:val="bottom"/>
          </w:tcPr>
          <w:p>
            <w:pPr>
              <w:spacing w:after="0"/>
              <w:rPr>
                <w:sz w:val="18"/>
                <w:szCs w:val="18"/>
                <w:color w:val="auto"/>
              </w:rPr>
            </w:pP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1,147,772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From 1 month to 3 months</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233,927</w:t>
            </w:r>
          </w:p>
        </w:tc>
        <w:tc>
          <w:tcPr>
            <w:tcW w:w="10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492,205</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gridSpan w:val="2"/>
          </w:tcPr>
          <w:p>
            <w:pPr>
              <w:ind w:left="20"/>
              <w:spacing w:after="0"/>
              <w:rPr>
                <w:sz w:val="20"/>
                <w:szCs w:val="20"/>
                <w:color w:val="auto"/>
              </w:rPr>
            </w:pPr>
            <w:r>
              <w:rPr>
                <w:rFonts w:ascii="Arial" w:cs="Arial" w:eastAsia="Arial" w:hAnsi="Arial"/>
                <w:sz w:val="18"/>
                <w:szCs w:val="18"/>
                <w:color w:val="auto"/>
              </w:rPr>
              <w:t>From 3 months to 6 months</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640,811</w:t>
            </w:r>
          </w:p>
        </w:tc>
        <w:tc>
          <w:tcPr>
            <w:tcW w:w="100" w:type="dxa"/>
            <w:vAlign w:val="bottom"/>
          </w:tcPr>
          <w:p>
            <w:pPr>
              <w:spacing w:after="0"/>
              <w:rPr>
                <w:sz w:val="18"/>
                <w:szCs w:val="18"/>
                <w:color w:val="auto"/>
              </w:rPr>
            </w:pP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411,159</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From 6 months to 1 year</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541,500</w:t>
            </w:r>
          </w:p>
        </w:tc>
        <w:tc>
          <w:tcPr>
            <w:tcW w:w="10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571,500</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gridSpan w:val="2"/>
          </w:tcPr>
          <w:p>
            <w:pPr>
              <w:ind w:left="20"/>
              <w:spacing w:after="0"/>
              <w:rPr>
                <w:sz w:val="20"/>
                <w:szCs w:val="20"/>
                <w:color w:val="auto"/>
              </w:rPr>
            </w:pPr>
            <w:r>
              <w:rPr>
                <w:rFonts w:ascii="Arial" w:cs="Arial" w:eastAsia="Arial" w:hAnsi="Arial"/>
                <w:sz w:val="18"/>
                <w:szCs w:val="18"/>
                <w:color w:val="auto"/>
              </w:rPr>
              <w:t>From 1 year to 2 years</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85,541</w:t>
            </w:r>
          </w:p>
        </w:tc>
        <w:tc>
          <w:tcPr>
            <w:tcW w:w="100" w:type="dxa"/>
            <w:vAlign w:val="bottom"/>
          </w:tcPr>
          <w:p>
            <w:pPr>
              <w:spacing w:after="0"/>
              <w:rPr>
                <w:sz w:val="18"/>
                <w:szCs w:val="18"/>
                <w:color w:val="auto"/>
              </w:rPr>
            </w:pP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76,422</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90,554</w:t>
            </w:r>
          </w:p>
        </w:tc>
        <w:tc>
          <w:tcPr>
            <w:tcW w:w="100" w:type="dxa"/>
            <w:vAlign w:val="bottom"/>
            <w:shd w:val="clear" w:color="auto" w:fill="CCEEFF"/>
          </w:tcPr>
          <w:p>
            <w:pPr>
              <w:spacing w:after="0"/>
              <w:rPr>
                <w:sz w:val="19"/>
                <w:szCs w:val="19"/>
                <w:color w:val="auto"/>
              </w:rPr>
            </w:pP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147,722</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2,777,535</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2,928,844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580" w:type="dxa"/>
            <w:vAlign w:val="bottom"/>
            <w:gridSpan w:val="2"/>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580" w:type="dxa"/>
            <w:vAlign w:val="bottom"/>
            <w:gridSpan w:val="2"/>
            <w:vMerge w:val="continue"/>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gridSpan w:val="5"/>
          </w:tcPr>
          <w:p>
            <w:pPr>
              <w:jc w:val="center"/>
              <w:ind w:right="320"/>
              <w:spacing w:after="0"/>
              <w:rPr>
                <w:sz w:val="20"/>
                <w:szCs w:val="20"/>
                <w:color w:val="auto"/>
              </w:rPr>
            </w:pPr>
            <w:r>
              <w:rPr>
                <w:rFonts w:ascii="Arial" w:cs="Arial" w:eastAsia="Arial" w:hAnsi="Arial"/>
                <w:sz w:val="18"/>
                <w:szCs w:val="18"/>
                <w:b w:val="1"/>
                <w:bCs w:val="1"/>
                <w:color w:val="auto"/>
                <w:w w:val="89"/>
              </w:rPr>
              <w:t>September 30,</w:t>
            </w:r>
          </w:p>
        </w:tc>
        <w:tc>
          <w:tcPr>
            <w:tcW w:w="142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800" w:type="dxa"/>
            <w:vAlign w:val="bottom"/>
            <w:tcBorders>
              <w:bottom w:val="single" w:sz="8" w:color="CCEEFF"/>
            </w:tcBorders>
          </w:tcPr>
          <w:p>
            <w:pPr>
              <w:spacing w:after="0"/>
              <w:rPr>
                <w:sz w:val="20"/>
                <w:szCs w:val="20"/>
                <w:color w:val="auto"/>
              </w:rPr>
            </w:pPr>
          </w:p>
        </w:tc>
        <w:tc>
          <w:tcPr>
            <w:tcW w:w="78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center"/>
              <w:ind w:right="33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gridSpan w:val="2"/>
          </w:tcPr>
          <w:p>
            <w:pPr>
              <w:jc w:val="center"/>
              <w:ind w:right="30"/>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58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2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2,777,311</w:t>
            </w:r>
          </w:p>
        </w:tc>
        <w:tc>
          <w:tcPr>
            <w:tcW w:w="2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2,928,425</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580" w:type="dxa"/>
            <w:vAlign w:val="bottom"/>
            <w:gridSpan w:val="2"/>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580" w:type="dxa"/>
            <w:vAlign w:val="bottom"/>
            <w:gridSpan w:val="2"/>
            <w:vMerge w:val="continue"/>
          </w:tcPr>
          <w:p>
            <w:pPr>
              <w:spacing w:after="0"/>
              <w:rPr>
                <w:sz w:val="17"/>
                <w:szCs w:val="17"/>
                <w:color w:val="auto"/>
              </w:rPr>
            </w:pPr>
          </w:p>
        </w:tc>
        <w:tc>
          <w:tcPr>
            <w:tcW w:w="200" w:type="dxa"/>
            <w:vAlign w:val="bottom"/>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9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250,807</w:t>
            </w:r>
          </w:p>
        </w:tc>
        <w:tc>
          <w:tcPr>
            <w:tcW w:w="220" w:type="dxa"/>
            <w:vAlign w:val="bottom"/>
            <w:vMerge w:val="continue"/>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13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266,158</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gridSpan w:val="2"/>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4140" w:type="dxa"/>
            <w:vAlign w:val="bottom"/>
            <w:gridSpan w:val="10"/>
          </w:tcPr>
          <w:p>
            <w:pPr>
              <w:jc w:val="center"/>
              <w:ind w:right="100"/>
              <w:spacing w:after="0"/>
              <w:rPr>
                <w:sz w:val="20"/>
                <w:szCs w:val="20"/>
                <w:color w:val="auto"/>
              </w:rPr>
            </w:pPr>
            <w:r>
              <w:rPr>
                <w:rFonts w:ascii="Arial" w:cs="Arial" w:eastAsia="Arial" w:hAnsi="Arial"/>
                <w:sz w:val="18"/>
                <w:szCs w:val="18"/>
                <w:b w:val="1"/>
                <w:bCs w:val="1"/>
                <w:color w:val="auto"/>
                <w:w w:val="89"/>
              </w:rPr>
              <w:t>Three months ended September 30th</w:t>
            </w:r>
          </w:p>
        </w:tc>
        <w:tc>
          <w:tcPr>
            <w:tcW w:w="0" w:type="dxa"/>
            <w:vAlign w:val="bottom"/>
          </w:tcPr>
          <w:p>
            <w:pPr>
              <w:spacing w:after="0"/>
              <w:rPr>
                <w:sz w:val="1"/>
                <w:szCs w:val="1"/>
                <w:color w:val="auto"/>
              </w:rPr>
            </w:pPr>
          </w:p>
        </w:tc>
      </w:tr>
      <w:tr>
        <w:trPr>
          <w:trHeight w:val="223"/>
        </w:trPr>
        <w:tc>
          <w:tcPr>
            <w:tcW w:w="7140" w:type="dxa"/>
            <w:vAlign w:val="bottom"/>
            <w:gridSpan w:val="2"/>
          </w:tcPr>
          <w:p>
            <w:pPr>
              <w:spacing w:after="0"/>
              <w:rPr>
                <w:sz w:val="19"/>
                <w:szCs w:val="19"/>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980" w:type="dxa"/>
            <w:vAlign w:val="bottom"/>
            <w:tcBorders>
              <w:top w:val="single" w:sz="8" w:color="auto"/>
            </w:tcBorders>
          </w:tcPr>
          <w:p>
            <w:pPr>
              <w:jc w:val="center"/>
              <w:ind w:left="130"/>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320" w:type="dxa"/>
            <w:vAlign w:val="bottom"/>
            <w:tcBorders>
              <w:top w:val="single" w:sz="8" w:color="auto"/>
            </w:tcBorders>
            <w:gridSpan w:val="2"/>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88"/>
              </w:rPr>
              <w:t>1,653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966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Pr>
          <w:p>
            <w:pPr>
              <w:spacing w:after="0" w:line="20" w:lineRule="exact"/>
              <w:rPr>
                <w:sz w:val="1"/>
                <w:szCs w:val="1"/>
                <w:color w:val="auto"/>
              </w:rPr>
            </w:pPr>
          </w:p>
        </w:tc>
        <w:tc>
          <w:tcPr>
            <w:tcW w:w="1200" w:type="dxa"/>
            <w:vAlign w:val="bottom"/>
            <w:tcBorders>
              <w:bottom w:val="single" w:sz="8" w:color="auto"/>
            </w:tcBorders>
            <w:gridSpan w:val="3"/>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4140" w:type="dxa"/>
            <w:vAlign w:val="bottom"/>
            <w:gridSpan w:val="10"/>
          </w:tcPr>
          <w:p>
            <w:pPr>
              <w:jc w:val="center"/>
              <w:ind w:right="120"/>
              <w:spacing w:after="0"/>
              <w:rPr>
                <w:sz w:val="20"/>
                <w:szCs w:val="20"/>
                <w:color w:val="auto"/>
              </w:rPr>
            </w:pPr>
            <w:r>
              <w:rPr>
                <w:rFonts w:ascii="Arial" w:cs="Arial" w:eastAsia="Arial" w:hAnsi="Arial"/>
                <w:sz w:val="18"/>
                <w:szCs w:val="18"/>
                <w:b w:val="1"/>
                <w:bCs w:val="1"/>
                <w:color w:val="auto"/>
                <w:w w:val="89"/>
              </w:rPr>
              <w:t>Nine months ended September 30th</w:t>
            </w:r>
          </w:p>
        </w:tc>
        <w:tc>
          <w:tcPr>
            <w:tcW w:w="0" w:type="dxa"/>
            <w:vAlign w:val="bottom"/>
          </w:tcPr>
          <w:p>
            <w:pPr>
              <w:spacing w:after="0"/>
              <w:rPr>
                <w:sz w:val="1"/>
                <w:szCs w:val="1"/>
                <w:color w:val="auto"/>
              </w:rPr>
            </w:pPr>
          </w:p>
        </w:tc>
      </w:tr>
      <w:tr>
        <w:trPr>
          <w:trHeight w:val="223"/>
        </w:trPr>
        <w:tc>
          <w:tcPr>
            <w:tcW w:w="7140" w:type="dxa"/>
            <w:vAlign w:val="bottom"/>
            <w:gridSpan w:val="2"/>
          </w:tcPr>
          <w:p>
            <w:pPr>
              <w:spacing w:after="0"/>
              <w:rPr>
                <w:sz w:val="19"/>
                <w:szCs w:val="19"/>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980" w:type="dxa"/>
            <w:vAlign w:val="bottom"/>
            <w:tcBorders>
              <w:top w:val="single" w:sz="8" w:color="auto"/>
            </w:tcBorders>
          </w:tcPr>
          <w:p>
            <w:pPr>
              <w:jc w:val="center"/>
              <w:ind w:left="130"/>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320" w:type="dxa"/>
            <w:vAlign w:val="bottom"/>
            <w:tcBorders>
              <w:top w:val="single" w:sz="8" w:color="auto"/>
            </w:tcBorders>
            <w:gridSpan w:val="2"/>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88"/>
              </w:rPr>
              <w:t>4,202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2,524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right="3100"/>
        <w:spacing w:after="0" w:line="563" w:lineRule="auto"/>
        <w:rPr>
          <w:rFonts w:ascii="Arial" w:cs="Arial" w:eastAsia="Arial" w:hAnsi="Arial"/>
          <w:sz w:val="18"/>
          <w:szCs w:val="18"/>
          <w:b w:val="1"/>
          <w:bCs w:val="1"/>
          <w:color w:val="auto"/>
        </w:rPr>
      </w:pPr>
      <w:r>
        <w:rPr>
          <w:rFonts w:ascii="Arial" w:cs="Arial" w:eastAsia="Arial" w:hAnsi="Arial"/>
          <w:sz w:val="16"/>
          <w:szCs w:val="16"/>
          <w:color w:val="auto"/>
        </w:rPr>
        <w:t>As of September 30, 2018, the Bank has financing transactions under repurchase agreements for $39.8 million. As of December 31, 2017, the Bank does not have financing transactions under repurchase agreements.</w:t>
      </w:r>
    </w:p>
    <w:p>
      <w:pPr>
        <w:spacing w:after="0" w:line="1" w:lineRule="exact"/>
        <w:rPr>
          <w:rFonts w:ascii="Arial" w:cs="Arial" w:eastAsia="Arial" w:hAnsi="Arial"/>
          <w:sz w:val="18"/>
          <w:szCs w:val="18"/>
          <w:b w:val="1"/>
          <w:bCs w:val="1"/>
          <w:color w:val="auto"/>
        </w:rPr>
      </w:pPr>
    </w:p>
    <w:p>
      <w:pPr>
        <w:jc w:val="both"/>
        <w:ind w:left="34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During the periods ended September 30, 2018 and September 30, 2016, interest expense related to financing transactions under repurchase agreements totaled $324 and $809 thousand, corresponding to interest expense generated by the financing contracts under repurchase agreements. These expenses are included in the interest expense – short-term and long-term borrowings and debt line in the consolidated statements of profit or loss. As of September 30, 2017, the Bank did not incur in any interest expense generated by financial liabilities under repurchase agreements.</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80" w:hanging="332"/>
        <w:spacing w:after="0" w:line="503" w:lineRule="auto"/>
        <w:tabs>
          <w:tab w:leader="none" w:pos="34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Short-term borrowings and debt</w:t>
      </w: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breakdown of short-term (original maturity of less than one year) borrowings and debt, together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7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900" w:type="dxa"/>
            <w:vAlign w:val="bottom"/>
            <w:gridSpan w:val="3"/>
          </w:tcPr>
          <w:p>
            <w:pPr>
              <w:jc w:val="right"/>
              <w:ind w:right="600"/>
              <w:spacing w:after="0"/>
              <w:rPr>
                <w:sz w:val="20"/>
                <w:szCs w:val="20"/>
                <w:color w:val="auto"/>
              </w:rPr>
            </w:pPr>
            <w:r>
              <w:rPr>
                <w:rFonts w:ascii="Arial" w:cs="Arial" w:eastAsia="Arial" w:hAnsi="Arial"/>
                <w:sz w:val="18"/>
                <w:szCs w:val="18"/>
                <w:b w:val="1"/>
                <w:bCs w:val="1"/>
                <w:color w:val="auto"/>
              </w:rPr>
              <w:t>September 30,</w:t>
            </w:r>
          </w:p>
        </w:tc>
        <w:tc>
          <w:tcPr>
            <w:tcW w:w="60" w:type="dxa"/>
            <w:vAlign w:val="bottom"/>
          </w:tcPr>
          <w:p>
            <w:pPr>
              <w:spacing w:after="0"/>
              <w:rPr>
                <w:sz w:val="18"/>
                <w:szCs w:val="18"/>
                <w:color w:val="auto"/>
              </w:rPr>
            </w:pPr>
          </w:p>
        </w:tc>
        <w:tc>
          <w:tcPr>
            <w:tcW w:w="184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020" w:type="dxa"/>
            <w:vAlign w:val="bottom"/>
            <w:tcBorders>
              <w:bottom w:val="single" w:sz="8" w:color="CCEEFF"/>
            </w:tcBorders>
          </w:tcPr>
          <w:p>
            <w:pPr>
              <w:spacing w:after="0"/>
              <w:rPr>
                <w:sz w:val="20"/>
                <w:szCs w:val="20"/>
                <w:color w:val="auto"/>
              </w:rPr>
            </w:pPr>
          </w:p>
        </w:tc>
        <w:tc>
          <w:tcPr>
            <w:tcW w:w="1760" w:type="dxa"/>
            <w:vAlign w:val="bottom"/>
            <w:tcBorders>
              <w:bottom w:val="single" w:sz="8" w:color="auto"/>
            </w:tcBorders>
            <w:gridSpan w:val="2"/>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c>
          <w:tcPr>
            <w:tcW w:w="16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gridSpan w:val="2"/>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6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2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860" w:type="dxa"/>
            <w:vAlign w:val="bottom"/>
            <w:gridSpan w:val="3"/>
          </w:tcPr>
          <w:p>
            <w:pPr>
              <w:jc w:val="right"/>
              <w:ind w:right="10"/>
              <w:spacing w:after="0"/>
              <w:rPr>
                <w:sz w:val="20"/>
                <w:szCs w:val="20"/>
                <w:color w:val="auto"/>
              </w:rPr>
            </w:pPr>
            <w:r>
              <w:rPr>
                <w:rFonts w:ascii="Arial" w:cs="Arial" w:eastAsia="Arial" w:hAnsi="Arial"/>
                <w:sz w:val="18"/>
                <w:szCs w:val="18"/>
                <w:color w:val="auto"/>
              </w:rPr>
              <w:t>240,499</w:t>
            </w:r>
          </w:p>
        </w:tc>
        <w:tc>
          <w:tcPr>
            <w:tcW w:w="160" w:type="dxa"/>
            <w:vAlign w:val="bottom"/>
          </w:tcPr>
          <w:p>
            <w:pPr>
              <w:spacing w:after="0"/>
              <w:rPr>
                <w:sz w:val="18"/>
                <w:szCs w:val="18"/>
                <w:color w:val="auto"/>
              </w:rPr>
            </w:pPr>
          </w:p>
        </w:tc>
        <w:tc>
          <w:tcPr>
            <w:tcW w:w="1800" w:type="dxa"/>
            <w:vAlign w:val="bottom"/>
            <w:gridSpan w:val="3"/>
          </w:tcPr>
          <w:p>
            <w:pPr>
              <w:jc w:val="right"/>
              <w:spacing w:after="0"/>
              <w:rPr>
                <w:sz w:val="20"/>
                <w:szCs w:val="20"/>
                <w:color w:val="auto"/>
              </w:rPr>
            </w:pPr>
            <w:r>
              <w:rPr>
                <w:rFonts w:ascii="Arial" w:cs="Arial" w:eastAsia="Arial" w:hAnsi="Arial"/>
                <w:sz w:val="18"/>
                <w:szCs w:val="18"/>
                <w:color w:val="auto"/>
              </w:rPr>
              <w:t>429,069</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860" w:type="dxa"/>
            <w:vAlign w:val="bottom"/>
            <w:gridSpan w:val="3"/>
            <w:shd w:val="clear" w:color="auto" w:fill="CCEEFF"/>
          </w:tcPr>
          <w:p>
            <w:pPr>
              <w:jc w:val="right"/>
              <w:ind w:right="10"/>
              <w:spacing w:after="0"/>
              <w:rPr>
                <w:sz w:val="20"/>
                <w:szCs w:val="20"/>
                <w:color w:val="auto"/>
              </w:rPr>
            </w:pPr>
            <w:r>
              <w:rPr>
                <w:rFonts w:ascii="Arial" w:cs="Arial" w:eastAsia="Arial" w:hAnsi="Arial"/>
                <w:sz w:val="18"/>
                <w:szCs w:val="18"/>
                <w:color w:val="auto"/>
              </w:rPr>
              <w:t>948,974</w:t>
            </w:r>
          </w:p>
        </w:tc>
        <w:tc>
          <w:tcPr>
            <w:tcW w:w="160" w:type="dxa"/>
            <w:vAlign w:val="bottom"/>
            <w:shd w:val="clear" w:color="auto" w:fill="CCEEFF"/>
          </w:tcPr>
          <w:p>
            <w:pPr>
              <w:spacing w:after="0"/>
              <w:rPr>
                <w:sz w:val="19"/>
                <w:szCs w:val="19"/>
                <w:color w:val="auto"/>
              </w:rPr>
            </w:pPr>
          </w:p>
        </w:tc>
        <w:tc>
          <w:tcPr>
            <w:tcW w:w="1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633,154</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1,189,473</w:t>
            </w:r>
          </w:p>
        </w:tc>
        <w:tc>
          <w:tcPr>
            <w:tcW w:w="100" w:type="dxa"/>
            <w:vAlign w:val="bottom"/>
            <w:tcBorders>
              <w:bottom w:val="single" w:sz="8" w:color="CCEEFF"/>
            </w:tcBorders>
          </w:tcPr>
          <w:p>
            <w:pPr>
              <w:spacing w:after="0"/>
              <w:rPr>
                <w:sz w:val="18"/>
                <w:szCs w:val="18"/>
                <w:color w:val="auto"/>
              </w:rPr>
            </w:pPr>
          </w:p>
        </w:tc>
        <w:tc>
          <w:tcPr>
            <w:tcW w:w="16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1,062,223</w:t>
            </w:r>
          </w:p>
        </w:tc>
        <w:tc>
          <w:tcPr>
            <w:tcW w:w="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2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860" w:type="dxa"/>
            <w:vAlign w:val="bottom"/>
            <w:gridSpan w:val="3"/>
          </w:tcPr>
          <w:p>
            <w:pPr>
              <w:jc w:val="right"/>
              <w:ind w:right="10"/>
              <w:spacing w:after="0"/>
              <w:rPr>
                <w:sz w:val="20"/>
                <w:szCs w:val="20"/>
                <w:color w:val="auto"/>
              </w:rPr>
            </w:pPr>
            <w:r>
              <w:rPr>
                <w:rFonts w:ascii="Arial" w:cs="Arial" w:eastAsia="Arial" w:hAnsi="Arial"/>
                <w:sz w:val="18"/>
                <w:szCs w:val="18"/>
                <w:color w:val="auto"/>
              </w:rPr>
              <w:t>2,700</w:t>
            </w:r>
          </w:p>
        </w:tc>
        <w:tc>
          <w:tcPr>
            <w:tcW w:w="160" w:type="dxa"/>
            <w:vAlign w:val="bottom"/>
          </w:tcPr>
          <w:p>
            <w:pPr>
              <w:spacing w:after="0"/>
              <w:rPr>
                <w:sz w:val="18"/>
                <w:szCs w:val="18"/>
                <w:color w:val="auto"/>
              </w:rPr>
            </w:pPr>
          </w:p>
        </w:tc>
        <w:tc>
          <w:tcPr>
            <w:tcW w:w="1800" w:type="dxa"/>
            <w:vAlign w:val="bottom"/>
            <w:gridSpan w:val="3"/>
          </w:tcPr>
          <w:p>
            <w:pPr>
              <w:jc w:val="right"/>
              <w:spacing w:after="0"/>
              <w:rPr>
                <w:sz w:val="20"/>
                <w:szCs w:val="20"/>
                <w:color w:val="auto"/>
              </w:rPr>
            </w:pPr>
            <w:r>
              <w:rPr>
                <w:rFonts w:ascii="Arial" w:cs="Arial" w:eastAsia="Arial" w:hAnsi="Arial"/>
                <w:sz w:val="18"/>
                <w:szCs w:val="18"/>
                <w:color w:val="auto"/>
              </w:rPr>
              <w:t>10,500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860" w:type="dxa"/>
            <w:vAlign w:val="bottom"/>
            <w:gridSpan w:val="3"/>
            <w:shd w:val="clear" w:color="auto" w:fill="CCEEFF"/>
          </w:tcPr>
          <w:p>
            <w:pPr>
              <w:jc w:val="right"/>
              <w:ind w:right="10"/>
              <w:spacing w:after="0"/>
              <w:rPr>
                <w:sz w:val="20"/>
                <w:szCs w:val="20"/>
                <w:color w:val="auto"/>
              </w:rPr>
            </w:pPr>
            <w:r>
              <w:rPr>
                <w:rFonts w:ascii="Arial" w:cs="Arial" w:eastAsia="Arial" w:hAnsi="Arial"/>
                <w:sz w:val="18"/>
                <w:szCs w:val="18"/>
                <w:color w:val="auto"/>
              </w:rPr>
              <w:t>45,430</w:t>
            </w:r>
          </w:p>
        </w:tc>
        <w:tc>
          <w:tcPr>
            <w:tcW w:w="160" w:type="dxa"/>
            <w:vAlign w:val="bottom"/>
            <w:shd w:val="clear" w:color="auto" w:fill="CCEEFF"/>
          </w:tcPr>
          <w:p>
            <w:pPr>
              <w:spacing w:after="0"/>
              <w:rPr>
                <w:sz w:val="19"/>
                <w:szCs w:val="19"/>
                <w:color w:val="auto"/>
              </w:rPr>
            </w:pPr>
          </w:p>
        </w:tc>
        <w:tc>
          <w:tcPr>
            <w:tcW w:w="1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7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48,130</w:t>
            </w:r>
          </w:p>
        </w:tc>
        <w:tc>
          <w:tcPr>
            <w:tcW w:w="100" w:type="dxa"/>
            <w:vAlign w:val="bottom"/>
            <w:tcBorders>
              <w:bottom w:val="single" w:sz="8" w:color="CCEEFF"/>
            </w:tcBorders>
          </w:tcPr>
          <w:p>
            <w:pPr>
              <w:spacing w:after="0"/>
              <w:rPr>
                <w:sz w:val="18"/>
                <w:szCs w:val="18"/>
                <w:color w:val="auto"/>
              </w:rPr>
            </w:pPr>
          </w:p>
        </w:tc>
        <w:tc>
          <w:tcPr>
            <w:tcW w:w="16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10,500</w:t>
            </w:r>
          </w:p>
        </w:tc>
        <w:tc>
          <w:tcPr>
            <w:tcW w:w="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7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1,237,603</w:t>
            </w:r>
          </w:p>
        </w:tc>
        <w:tc>
          <w:tcPr>
            <w:tcW w:w="1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CCEEFF"/>
            </w:tcBorders>
            <w:shd w:val="clear" w:color="auto" w:fill="CCEEFF"/>
          </w:tcPr>
          <w:p>
            <w:pPr>
              <w:spacing w:after="0"/>
              <w:rPr>
                <w:sz w:val="19"/>
                <w:szCs w:val="19"/>
                <w:color w:val="auto"/>
              </w:rPr>
            </w:pPr>
          </w:p>
        </w:tc>
        <w:tc>
          <w:tcPr>
            <w:tcW w:w="17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1,072,723</w:t>
            </w:r>
          </w:p>
        </w:tc>
        <w:tc>
          <w:tcPr>
            <w:tcW w:w="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1860" w:type="dxa"/>
            <w:vAlign w:val="bottom"/>
            <w:gridSpan w:val="3"/>
            <w:shd w:val="clear" w:color="auto" w:fill="CCEEFF"/>
          </w:tcPr>
          <w:p>
            <w:pPr>
              <w:jc w:val="right"/>
              <w:ind w:right="10"/>
              <w:spacing w:after="0"/>
              <w:rPr>
                <w:sz w:val="20"/>
                <w:szCs w:val="20"/>
                <w:color w:val="auto"/>
              </w:rPr>
            </w:pPr>
            <w:r>
              <w:rPr>
                <w:rFonts w:ascii="Arial" w:cs="Arial" w:eastAsia="Arial" w:hAnsi="Arial"/>
                <w:sz w:val="18"/>
                <w:szCs w:val="18"/>
                <w:color w:val="auto"/>
              </w:rPr>
              <w:t>890,343</w:t>
            </w:r>
          </w:p>
        </w:tc>
        <w:tc>
          <w:tcPr>
            <w:tcW w:w="160" w:type="dxa"/>
            <w:vAlign w:val="bottom"/>
            <w:shd w:val="clear" w:color="auto" w:fill="CCEEFF"/>
          </w:tcPr>
          <w:p>
            <w:pPr>
              <w:spacing w:after="0"/>
              <w:rPr>
                <w:sz w:val="21"/>
                <w:szCs w:val="21"/>
                <w:color w:val="auto"/>
              </w:rPr>
            </w:pPr>
          </w:p>
        </w:tc>
        <w:tc>
          <w:tcPr>
            <w:tcW w:w="1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710,021</w:t>
            </w:r>
          </w:p>
        </w:tc>
        <w:tc>
          <w:tcPr>
            <w:tcW w:w="10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120" w:type="dxa"/>
            <w:vAlign w:val="bottom"/>
            <w:tcBorders>
              <w:top w:val="single" w:sz="8" w:color="auto"/>
              <w:bottom w:val="single" w:sz="8" w:color="auto"/>
            </w:tcBorders>
          </w:tcPr>
          <w:p>
            <w:pPr>
              <w:spacing w:after="0" w:line="20" w:lineRule="exact"/>
              <w:rPr>
                <w:sz w:val="1"/>
                <w:szCs w:val="1"/>
                <w:color w:val="auto"/>
              </w:rPr>
            </w:pPr>
          </w:p>
        </w:tc>
        <w:tc>
          <w:tcPr>
            <w:tcW w:w="16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6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1,237,603</w:t>
            </w:r>
          </w:p>
        </w:tc>
        <w:tc>
          <w:tcPr>
            <w:tcW w:w="100" w:type="dxa"/>
            <w:vAlign w:val="bottom"/>
            <w:tcBorders>
              <w:bottom w:val="single" w:sz="8" w:color="CCEEFF"/>
            </w:tcBorders>
            <w:vMerge w:val="continue"/>
          </w:tcPr>
          <w:p>
            <w:pPr>
              <w:spacing w:after="0"/>
              <w:rPr>
                <w:sz w:val="20"/>
                <w:szCs w:val="20"/>
                <w:color w:val="auto"/>
              </w:rPr>
            </w:pPr>
          </w:p>
        </w:tc>
        <w:tc>
          <w:tcPr>
            <w:tcW w:w="1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1,072,723</w:t>
            </w:r>
          </w:p>
        </w:tc>
        <w:tc>
          <w:tcPr>
            <w:tcW w:w="6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20" w:type="dxa"/>
            <w:vAlign w:val="bottom"/>
            <w:tcBorders>
              <w:bottom w:val="single" w:sz="8" w:color="auto"/>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1.95% to 2.92</w:t>
            </w:r>
          </w:p>
        </w:tc>
        <w:tc>
          <w:tcPr>
            <w:tcW w:w="260" w:type="dxa"/>
            <w:vAlign w:val="bottom"/>
            <w:tcBorders>
              <w:bottom w:val="single" w:sz="8" w:color="CCEEFF"/>
            </w:tcBorders>
            <w:gridSpan w:val="2"/>
            <w:shd w:val="clear" w:color="auto" w:fill="CCEEFF"/>
          </w:tcPr>
          <w:p>
            <w:pPr>
              <w:jc w:val="right"/>
              <w:ind w:right="120"/>
              <w:spacing w:after="0" w:line="190" w:lineRule="exact"/>
              <w:rPr>
                <w:sz w:val="20"/>
                <w:szCs w:val="20"/>
                <w:color w:val="auto"/>
              </w:rPr>
            </w:pPr>
            <w:r>
              <w:rPr>
                <w:rFonts w:ascii="Arial" w:cs="Arial" w:eastAsia="Arial" w:hAnsi="Arial"/>
                <w:sz w:val="18"/>
                <w:szCs w:val="18"/>
                <w:color w:val="auto"/>
                <w:w w:val="74"/>
              </w:rPr>
              <w:t>%</w:t>
            </w:r>
          </w:p>
        </w:tc>
        <w:tc>
          <w:tcPr>
            <w:tcW w:w="60" w:type="dxa"/>
            <w:vAlign w:val="bottom"/>
            <w:tcBorders>
              <w:bottom w:val="single" w:sz="8" w:color="auto"/>
            </w:tcBorders>
            <w:shd w:val="clear" w:color="auto" w:fill="CCEEFF"/>
          </w:tcPr>
          <w:p>
            <w:pPr>
              <w:spacing w:after="0"/>
              <w:rPr>
                <w:sz w:val="17"/>
                <w:szCs w:val="17"/>
                <w:color w:val="auto"/>
              </w:rPr>
            </w:pPr>
          </w:p>
        </w:tc>
        <w:tc>
          <w:tcPr>
            <w:tcW w:w="1680" w:type="dxa"/>
            <w:vAlign w:val="bottom"/>
            <w:tcBorders>
              <w:bottom w:val="single" w:sz="8" w:color="auto"/>
            </w:tcBorders>
            <w:shd w:val="clear" w:color="auto" w:fill="CCEEFF"/>
          </w:tcPr>
          <w:p>
            <w:pPr>
              <w:ind w:left="680"/>
              <w:spacing w:after="0" w:line="196" w:lineRule="exact"/>
              <w:rPr>
                <w:sz w:val="20"/>
                <w:szCs w:val="20"/>
                <w:color w:val="auto"/>
              </w:rPr>
            </w:pPr>
            <w:r>
              <w:rPr>
                <w:rFonts w:ascii="Arial" w:cs="Arial" w:eastAsia="Arial" w:hAnsi="Arial"/>
                <w:sz w:val="18"/>
                <w:szCs w:val="18"/>
                <w:color w:val="auto"/>
                <w:w w:val="88"/>
              </w:rPr>
              <w:t>1.60% to 1.95</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in U.S. dollars</w:t>
            </w:r>
          </w:p>
        </w:tc>
        <w:tc>
          <w:tcPr>
            <w:tcW w:w="120" w:type="dxa"/>
            <w:vAlign w:val="bottom"/>
            <w:tcBorders>
              <w:bottom w:val="single" w:sz="8" w:color="auto"/>
            </w:tcBorders>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26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w w:val="74"/>
              </w:rPr>
              <w:t>%</w:t>
            </w:r>
          </w:p>
        </w:tc>
        <w:tc>
          <w:tcPr>
            <w:tcW w:w="6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2.32% to 2.99</w:t>
            </w:r>
          </w:p>
        </w:tc>
        <w:tc>
          <w:tcPr>
            <w:tcW w:w="260" w:type="dxa"/>
            <w:vAlign w:val="bottom"/>
            <w:tcBorders>
              <w:bottom w:val="single" w:sz="8" w:color="CCEEFF"/>
            </w:tcBorders>
            <w:gridSpan w:val="2"/>
            <w:vMerge w:val="continue"/>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tcPr>
          <w:p>
            <w:pPr>
              <w:ind w:left="680"/>
              <w:spacing w:after="0" w:line="196" w:lineRule="exact"/>
              <w:rPr>
                <w:sz w:val="20"/>
                <w:szCs w:val="20"/>
                <w:color w:val="auto"/>
              </w:rPr>
            </w:pPr>
            <w:r>
              <w:rPr>
                <w:rFonts w:ascii="Arial" w:cs="Arial" w:eastAsia="Arial" w:hAnsi="Arial"/>
                <w:sz w:val="18"/>
                <w:szCs w:val="18"/>
                <w:color w:val="auto"/>
                <w:w w:val="88"/>
              </w:rPr>
              <w:t>1.77% to 2.08</w:t>
            </w:r>
          </w:p>
        </w:tc>
        <w:tc>
          <w:tcPr>
            <w:tcW w:w="160" w:type="dxa"/>
            <w:vAlign w:val="bottom"/>
            <w:tcBorders>
              <w:bottom w:val="single" w:sz="8" w:color="CCEEFF"/>
            </w:tcBorders>
            <w:gridSpan w:val="2"/>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20" w:type="dxa"/>
            <w:vAlign w:val="bottom"/>
            <w:tcBorders>
              <w:bottom w:val="single" w:sz="8" w:color="auto"/>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8.40% to 8.80</w:t>
            </w:r>
          </w:p>
        </w:tc>
        <w:tc>
          <w:tcPr>
            <w:tcW w:w="260" w:type="dxa"/>
            <w:vAlign w:val="bottom"/>
            <w:tcBorders>
              <w:bottom w:val="single" w:sz="8" w:color="CCEEFF"/>
            </w:tcBorders>
            <w:gridSpan w:val="2"/>
            <w:shd w:val="clear" w:color="auto" w:fill="CCEEFF"/>
          </w:tcPr>
          <w:p>
            <w:pPr>
              <w:jc w:val="right"/>
              <w:ind w:right="12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7.92</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 in Mexican pesos</w:t>
            </w:r>
          </w:p>
        </w:tc>
        <w:tc>
          <w:tcPr>
            <w:tcW w:w="120" w:type="dxa"/>
            <w:vAlign w:val="bottom"/>
            <w:tcBorders>
              <w:bottom w:val="single" w:sz="8" w:color="auto"/>
            </w:tcBorders>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26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w w:val="74"/>
              </w:rPr>
              <w:t>%</w:t>
            </w:r>
          </w:p>
        </w:tc>
        <w:tc>
          <w:tcPr>
            <w:tcW w:w="6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8.40% to 8.51</w:t>
            </w:r>
          </w:p>
        </w:tc>
        <w:tc>
          <w:tcPr>
            <w:tcW w:w="260" w:type="dxa"/>
            <w:vAlign w:val="bottom"/>
            <w:tcBorders>
              <w:bottom w:val="single" w:sz="8" w:color="CCEEFF"/>
            </w:tcBorders>
            <w:gridSpan w:val="2"/>
            <w:vMerge w:val="continue"/>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tcPr>
          <w:p>
            <w:pPr>
              <w:ind w:left="680"/>
              <w:spacing w:after="0" w:line="196" w:lineRule="exact"/>
              <w:rPr>
                <w:sz w:val="20"/>
                <w:szCs w:val="20"/>
                <w:color w:val="auto"/>
              </w:rPr>
            </w:pPr>
            <w:r>
              <w:rPr>
                <w:rFonts w:ascii="Arial" w:cs="Arial" w:eastAsia="Arial" w:hAnsi="Arial"/>
                <w:sz w:val="18"/>
                <w:szCs w:val="18"/>
                <w:color w:val="auto"/>
                <w:w w:val="88"/>
              </w:rPr>
              <w:t>7.68% to 7.89</w:t>
            </w:r>
          </w:p>
        </w:tc>
        <w:tc>
          <w:tcPr>
            <w:tcW w:w="160" w:type="dxa"/>
            <w:vAlign w:val="bottom"/>
            <w:tcBorders>
              <w:bottom w:val="single" w:sz="8" w:color="CCEEFF"/>
            </w:tcBorders>
            <w:gridSpan w:val="2"/>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176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3.16</w:t>
            </w:r>
          </w:p>
        </w:tc>
        <w:tc>
          <w:tcPr>
            <w:tcW w:w="260" w:type="dxa"/>
            <w:vAlign w:val="bottom"/>
            <w:tcBorders>
              <w:bottom w:val="single" w:sz="8" w:color="CCEEFF"/>
            </w:tcBorders>
            <w:gridSpan w:val="2"/>
            <w:shd w:val="clear" w:color="auto" w:fill="CCEEFF"/>
          </w:tcPr>
          <w:p>
            <w:pPr>
              <w:jc w:val="right"/>
              <w:ind w:right="12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2.16</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120" w:type="dxa"/>
            <w:vAlign w:val="bottom"/>
            <w:tcBorders>
              <w:bottom w:val="single" w:sz="8" w:color="auto"/>
            </w:tcBorders>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26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w w:val="74"/>
              </w:rPr>
              <w:t>%</w:t>
            </w:r>
          </w:p>
        </w:tc>
        <w:tc>
          <w:tcPr>
            <w:tcW w:w="6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vMerge w:val="continue"/>
          </w:tcPr>
          <w:p>
            <w:pPr>
              <w:spacing w:after="0"/>
              <w:rPr>
                <w:sz w:val="17"/>
                <w:szCs w:val="17"/>
                <w:color w:val="auto"/>
              </w:rPr>
            </w:pPr>
          </w:p>
        </w:tc>
        <w:tc>
          <w:tcPr>
            <w:tcW w:w="176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2.91</w:t>
            </w:r>
          </w:p>
        </w:tc>
        <w:tc>
          <w:tcPr>
            <w:tcW w:w="260" w:type="dxa"/>
            <w:vAlign w:val="bottom"/>
            <w:gridSpan w:val="2"/>
            <w:vMerge w:val="continue"/>
          </w:tcPr>
          <w:p>
            <w:pPr>
              <w:spacing w:after="0"/>
              <w:rPr>
                <w:sz w:val="17"/>
                <w:szCs w:val="17"/>
                <w:color w:val="auto"/>
              </w:rPr>
            </w:pPr>
          </w:p>
        </w:tc>
        <w:tc>
          <w:tcPr>
            <w:tcW w:w="174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1.66</w:t>
            </w:r>
          </w:p>
        </w:tc>
        <w:tc>
          <w:tcPr>
            <w:tcW w:w="160" w:type="dxa"/>
            <w:vAlign w:val="bottom"/>
            <w:gridSpan w:val="2"/>
            <w:vMerge w:val="continue"/>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w w:val="99"/>
              </w:rPr>
              <w:t>The outstanding balances of short-term borrowings and debt by currency, are as follows:</w:t>
            </w:r>
          </w:p>
        </w:tc>
        <w:tc>
          <w:tcPr>
            <w:tcW w:w="120" w:type="dxa"/>
            <w:vAlign w:val="bottom"/>
            <w:tcBorders>
              <w:bottom w:val="single" w:sz="8" w:color="auto"/>
            </w:tcBorders>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020" w:type="dxa"/>
            <w:vAlign w:val="bottom"/>
            <w:vMerge w:val="continue"/>
          </w:tcPr>
          <w:p>
            <w:pPr>
              <w:spacing w:after="0"/>
              <w:rPr>
                <w:sz w:val="24"/>
                <w:szCs w:val="24"/>
                <w:color w:val="auto"/>
              </w:rPr>
            </w:pPr>
          </w:p>
        </w:tc>
        <w:tc>
          <w:tcPr>
            <w:tcW w:w="12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70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90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September 30,</w:t>
            </w:r>
          </w:p>
        </w:tc>
        <w:tc>
          <w:tcPr>
            <w:tcW w:w="60" w:type="dxa"/>
            <w:vAlign w:val="bottom"/>
          </w:tcPr>
          <w:p>
            <w:pPr>
              <w:spacing w:after="0"/>
              <w:rPr>
                <w:sz w:val="24"/>
                <w:szCs w:val="24"/>
                <w:color w:val="auto"/>
              </w:rPr>
            </w:pPr>
          </w:p>
        </w:tc>
        <w:tc>
          <w:tcPr>
            <w:tcW w:w="184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020" w:type="dxa"/>
            <w:vAlign w:val="bottom"/>
          </w:tcPr>
          <w:p>
            <w:pPr>
              <w:spacing w:after="0"/>
              <w:rPr>
                <w:sz w:val="20"/>
                <w:szCs w:val="20"/>
                <w:color w:val="auto"/>
              </w:rPr>
            </w:pPr>
          </w:p>
        </w:tc>
        <w:tc>
          <w:tcPr>
            <w:tcW w:w="1760" w:type="dxa"/>
            <w:vAlign w:val="bottom"/>
            <w:gridSpan w:val="2"/>
          </w:tcPr>
          <w:p>
            <w:pPr>
              <w:jc w:val="right"/>
              <w:ind w:right="51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2"/>
          </w:tcPr>
          <w:p>
            <w:pPr>
              <w:ind w:left="740"/>
              <w:spacing w:after="0"/>
              <w:rPr>
                <w:sz w:val="20"/>
                <w:szCs w:val="20"/>
                <w:color w:val="auto"/>
              </w:rPr>
            </w:pPr>
            <w:r>
              <w:rPr>
                <w:rFonts w:ascii="Arial" w:cs="Arial" w:eastAsia="Arial" w:hAnsi="Arial"/>
                <w:sz w:val="18"/>
                <w:szCs w:val="18"/>
                <w:b w:val="1"/>
                <w:bCs w:val="1"/>
                <w:color w:val="auto"/>
              </w:rPr>
              <w:t>2017</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US dollar</w:t>
            </w:r>
          </w:p>
        </w:tc>
        <w:tc>
          <w:tcPr>
            <w:tcW w:w="1860" w:type="dxa"/>
            <w:vAlign w:val="bottom"/>
            <w:gridSpan w:val="3"/>
          </w:tcPr>
          <w:p>
            <w:pPr>
              <w:jc w:val="right"/>
              <w:spacing w:after="0"/>
              <w:rPr>
                <w:sz w:val="20"/>
                <w:szCs w:val="20"/>
                <w:color w:val="auto"/>
              </w:rPr>
            </w:pPr>
            <w:r>
              <w:rPr>
                <w:rFonts w:ascii="Arial" w:cs="Arial" w:eastAsia="Arial" w:hAnsi="Arial"/>
                <w:sz w:val="18"/>
                <w:szCs w:val="18"/>
                <w:color w:val="auto"/>
              </w:rPr>
              <w:t>1,110,000</w:t>
            </w:r>
          </w:p>
        </w:tc>
        <w:tc>
          <w:tcPr>
            <w:tcW w:w="160" w:type="dxa"/>
            <w:vAlign w:val="bottom"/>
          </w:tcPr>
          <w:p>
            <w:pPr>
              <w:spacing w:after="0"/>
              <w:rPr>
                <w:sz w:val="18"/>
                <w:szCs w:val="18"/>
                <w:color w:val="auto"/>
              </w:rPr>
            </w:pPr>
          </w:p>
        </w:tc>
        <w:tc>
          <w:tcPr>
            <w:tcW w:w="1800" w:type="dxa"/>
            <w:vAlign w:val="bottom"/>
            <w:gridSpan w:val="3"/>
          </w:tcPr>
          <w:p>
            <w:pPr>
              <w:jc w:val="right"/>
              <w:spacing w:after="0"/>
              <w:rPr>
                <w:sz w:val="20"/>
                <w:szCs w:val="20"/>
                <w:color w:val="auto"/>
              </w:rPr>
            </w:pPr>
            <w:r>
              <w:rPr>
                <w:rFonts w:ascii="Arial" w:cs="Arial" w:eastAsia="Arial" w:hAnsi="Arial"/>
                <w:sz w:val="18"/>
                <w:szCs w:val="18"/>
                <w:color w:val="auto"/>
              </w:rPr>
              <w:t>1,044,500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8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127,603</w:t>
            </w:r>
          </w:p>
        </w:tc>
        <w:tc>
          <w:tcPr>
            <w:tcW w:w="160" w:type="dxa"/>
            <w:vAlign w:val="bottom"/>
            <w:shd w:val="clear" w:color="auto" w:fill="CCEEFF"/>
          </w:tcPr>
          <w:p>
            <w:pPr>
              <w:spacing w:after="0"/>
              <w:rPr>
                <w:sz w:val="19"/>
                <w:szCs w:val="19"/>
                <w:color w:val="auto"/>
              </w:rPr>
            </w:pPr>
          </w:p>
        </w:tc>
        <w:tc>
          <w:tcPr>
            <w:tcW w:w="190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28,223</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Total</w:t>
            </w:r>
          </w:p>
        </w:tc>
        <w:tc>
          <w:tcPr>
            <w:tcW w:w="120" w:type="dxa"/>
            <w:vAlign w:val="bottom"/>
          </w:tcPr>
          <w:p>
            <w:pPr>
              <w:spacing w:after="0"/>
              <w:rPr>
                <w:sz w:val="19"/>
                <w:szCs w:val="19"/>
                <w:color w:val="auto"/>
              </w:rPr>
            </w:pPr>
          </w:p>
        </w:tc>
        <w:tc>
          <w:tcPr>
            <w:tcW w:w="17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1,237,603</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7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1,072,723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ind w:left="5280"/>
              <w:spacing w:after="0"/>
              <w:rPr>
                <w:sz w:val="20"/>
                <w:szCs w:val="20"/>
                <w:color w:val="auto"/>
              </w:rPr>
            </w:pPr>
            <w:r>
              <w:rPr>
                <w:rFonts w:ascii="Arial" w:cs="Arial" w:eastAsia="Arial" w:hAnsi="Arial"/>
                <w:sz w:val="18"/>
                <w:szCs w:val="18"/>
                <w:color w:val="auto"/>
              </w:rPr>
              <w:t>49</w:t>
            </w:r>
          </w:p>
        </w:tc>
        <w:tc>
          <w:tcPr>
            <w:tcW w:w="12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702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40" w:hanging="332"/>
        <w:spacing w:after="0" w:line="566" w:lineRule="auto"/>
        <w:tabs>
          <w:tab w:leader="none" w:pos="340" w:val="left"/>
        </w:tabs>
        <w:numPr>
          <w:ilvl w:val="0"/>
          <w:numId w:val="63"/>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ind w:left="340" w:right="1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borrowings and long-term debt (original maturity of more than one year), together with contractual interest rates, and prepaid commission of $4,022 and $4,211 as of September 30, 2018 and December 31, 2017, respectively, are as follows: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7020" w:type="dxa"/>
            <w:vAlign w:val="bottom"/>
          </w:tcPr>
          <w:p>
            <w:pPr>
              <w:spacing w:after="0"/>
              <w:rPr>
                <w:sz w:val="18"/>
                <w:szCs w:val="18"/>
                <w:color w:val="auto"/>
              </w:rPr>
            </w:pPr>
          </w:p>
        </w:tc>
        <w:tc>
          <w:tcPr>
            <w:tcW w:w="2020" w:type="dxa"/>
            <w:vAlign w:val="bottom"/>
            <w:gridSpan w:val="2"/>
          </w:tcPr>
          <w:p>
            <w:pPr>
              <w:jc w:val="right"/>
              <w:ind w:right="510"/>
              <w:spacing w:after="0"/>
              <w:rPr>
                <w:sz w:val="20"/>
                <w:szCs w:val="20"/>
                <w:color w:val="auto"/>
              </w:rPr>
            </w:pPr>
            <w:r>
              <w:rPr>
                <w:rFonts w:ascii="Arial" w:cs="Arial" w:eastAsia="Arial" w:hAnsi="Arial"/>
                <w:sz w:val="18"/>
                <w:szCs w:val="18"/>
                <w:b w:val="1"/>
                <w:bCs w:val="1"/>
                <w:color w:val="auto"/>
              </w:rPr>
              <w:t>September 30,</w:t>
            </w:r>
          </w:p>
        </w:tc>
        <w:tc>
          <w:tcPr>
            <w:tcW w:w="1900" w:type="dxa"/>
            <w:vAlign w:val="bottom"/>
            <w:gridSpan w:val="2"/>
          </w:tcPr>
          <w:p>
            <w:pPr>
              <w:jc w:val="right"/>
              <w:ind w:right="41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020" w:type="dxa"/>
            <w:vAlign w:val="bottom"/>
            <w:tcBorders>
              <w:bottom w:val="single" w:sz="8" w:color="CCEEFF"/>
            </w:tcBorders>
          </w:tcPr>
          <w:p>
            <w:pPr>
              <w:spacing w:after="0"/>
              <w:rPr>
                <w:sz w:val="20"/>
                <w:szCs w:val="20"/>
                <w:color w:val="auto"/>
              </w:rPr>
            </w:pPr>
          </w:p>
        </w:tc>
        <w:tc>
          <w:tcPr>
            <w:tcW w:w="176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6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6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Borrowings:</w:t>
            </w:r>
          </w:p>
        </w:tc>
        <w:tc>
          <w:tcPr>
            <w:tcW w:w="1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At fixed interest rates with due dates from October 2018 to February 2022</w:t>
            </w:r>
          </w:p>
        </w:tc>
        <w:tc>
          <w:tcPr>
            <w:tcW w:w="2020" w:type="dxa"/>
            <w:vAlign w:val="bottom"/>
            <w:gridSpan w:val="2"/>
          </w:tcPr>
          <w:p>
            <w:pPr>
              <w:jc w:val="right"/>
              <w:ind w:right="170"/>
              <w:spacing w:after="0"/>
              <w:rPr>
                <w:sz w:val="20"/>
                <w:szCs w:val="20"/>
                <w:color w:val="auto"/>
              </w:rPr>
            </w:pPr>
            <w:r>
              <w:rPr>
                <w:rFonts w:ascii="Arial" w:cs="Arial" w:eastAsia="Arial" w:hAnsi="Arial"/>
                <w:sz w:val="18"/>
                <w:szCs w:val="18"/>
                <w:color w:val="auto"/>
              </w:rPr>
              <w:t>66,942</w:t>
            </w:r>
          </w:p>
        </w:tc>
        <w:tc>
          <w:tcPr>
            <w:tcW w:w="1740" w:type="dxa"/>
            <w:vAlign w:val="bottom"/>
          </w:tcPr>
          <w:p>
            <w:pPr>
              <w:jc w:val="right"/>
              <w:spacing w:after="0"/>
              <w:rPr>
                <w:sz w:val="20"/>
                <w:szCs w:val="20"/>
                <w:color w:val="auto"/>
              </w:rPr>
            </w:pPr>
            <w:r>
              <w:rPr>
                <w:rFonts w:ascii="Arial" w:cs="Arial" w:eastAsia="Arial" w:hAnsi="Arial"/>
                <w:sz w:val="18"/>
                <w:szCs w:val="18"/>
                <w:color w:val="auto"/>
              </w:rPr>
              <w:t>44,011</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August 2019 to August 2023</w:t>
            </w:r>
          </w:p>
        </w:tc>
        <w:tc>
          <w:tcPr>
            <w:tcW w:w="202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746,206</w:t>
            </w:r>
          </w:p>
        </w:tc>
        <w:tc>
          <w:tcPr>
            <w:tcW w:w="19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379,000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813,148</w:t>
            </w:r>
          </w:p>
        </w:tc>
        <w:tc>
          <w:tcPr>
            <w:tcW w:w="26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423,011</w:t>
            </w:r>
          </w:p>
        </w:tc>
        <w:tc>
          <w:tcPr>
            <w:tcW w:w="16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At fixed interest rates with due dates from June 2019 to March 2024</w:t>
            </w:r>
          </w:p>
        </w:tc>
        <w:tc>
          <w:tcPr>
            <w:tcW w:w="2020" w:type="dxa"/>
            <w:vAlign w:val="bottom"/>
            <w:gridSpan w:val="2"/>
          </w:tcPr>
          <w:p>
            <w:pPr>
              <w:jc w:val="right"/>
              <w:ind w:right="170"/>
              <w:spacing w:after="0"/>
              <w:rPr>
                <w:sz w:val="20"/>
                <w:szCs w:val="20"/>
                <w:color w:val="auto"/>
              </w:rPr>
            </w:pPr>
            <w:r>
              <w:rPr>
                <w:rFonts w:ascii="Arial" w:cs="Arial" w:eastAsia="Arial" w:hAnsi="Arial"/>
                <w:sz w:val="18"/>
                <w:szCs w:val="18"/>
                <w:color w:val="auto"/>
              </w:rPr>
              <w:t>499,679</w:t>
            </w:r>
          </w:p>
        </w:tc>
        <w:tc>
          <w:tcPr>
            <w:tcW w:w="1900" w:type="dxa"/>
            <w:vAlign w:val="bottom"/>
            <w:gridSpan w:val="2"/>
          </w:tcPr>
          <w:p>
            <w:pPr>
              <w:jc w:val="right"/>
              <w:ind w:right="70"/>
              <w:spacing w:after="0"/>
              <w:rPr>
                <w:sz w:val="20"/>
                <w:szCs w:val="20"/>
                <w:color w:val="auto"/>
              </w:rPr>
            </w:pPr>
            <w:r>
              <w:rPr>
                <w:rFonts w:ascii="Arial" w:cs="Arial" w:eastAsia="Arial" w:hAnsi="Arial"/>
                <w:sz w:val="18"/>
                <w:szCs w:val="18"/>
                <w:color w:val="auto"/>
              </w:rPr>
              <w:t>532,305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April 2019 to June 2023</w:t>
            </w:r>
          </w:p>
        </w:tc>
        <w:tc>
          <w:tcPr>
            <w:tcW w:w="202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115,147</w:t>
            </w:r>
          </w:p>
        </w:tc>
        <w:tc>
          <w:tcPr>
            <w:tcW w:w="19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187,739</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614,826</w:t>
            </w:r>
          </w:p>
        </w:tc>
        <w:tc>
          <w:tcPr>
            <w:tcW w:w="26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720,044</w:t>
            </w:r>
          </w:p>
        </w:tc>
        <w:tc>
          <w:tcPr>
            <w:tcW w:w="16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1,427,974</w:t>
            </w:r>
          </w:p>
        </w:tc>
        <w:tc>
          <w:tcPr>
            <w:tcW w:w="26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1,143,055</w:t>
            </w:r>
          </w:p>
        </w:tc>
        <w:tc>
          <w:tcPr>
            <w:tcW w:w="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20" w:type="dxa"/>
            <w:vAlign w:val="bottom"/>
          </w:tcPr>
          <w:p>
            <w:pPr>
              <w:spacing w:after="0"/>
              <w:rPr>
                <w:sz w:val="20"/>
                <w:szCs w:val="20"/>
                <w:color w:val="auto"/>
              </w:rPr>
            </w:pPr>
            <w:r>
              <w:rPr>
                <w:rFonts w:ascii="Arial" w:cs="Arial" w:eastAsia="Arial" w:hAnsi="Arial"/>
                <w:sz w:val="18"/>
                <w:szCs w:val="18"/>
                <w:color w:val="auto"/>
              </w:rPr>
              <w:t>Less: Prepaid commission</w:t>
            </w:r>
          </w:p>
        </w:tc>
        <w:tc>
          <w:tcPr>
            <w:tcW w:w="2020" w:type="dxa"/>
            <w:vAlign w:val="bottom"/>
            <w:gridSpan w:val="2"/>
          </w:tcPr>
          <w:p>
            <w:pPr>
              <w:jc w:val="right"/>
              <w:ind w:right="110"/>
              <w:spacing w:after="0"/>
              <w:rPr>
                <w:sz w:val="20"/>
                <w:szCs w:val="20"/>
                <w:color w:val="auto"/>
              </w:rPr>
            </w:pPr>
            <w:r>
              <w:rPr>
                <w:rFonts w:ascii="Arial" w:cs="Arial" w:eastAsia="Arial" w:hAnsi="Arial"/>
                <w:sz w:val="18"/>
                <w:szCs w:val="18"/>
                <w:color w:val="auto"/>
              </w:rPr>
              <w:t>(4,022)</w:t>
            </w:r>
          </w:p>
        </w:tc>
        <w:tc>
          <w:tcPr>
            <w:tcW w:w="1900" w:type="dxa"/>
            <w:vAlign w:val="bottom"/>
            <w:gridSpan w:val="2"/>
          </w:tcPr>
          <w:p>
            <w:pPr>
              <w:jc w:val="right"/>
              <w:ind w:right="10"/>
              <w:spacing w:after="0"/>
              <w:rPr>
                <w:sz w:val="20"/>
                <w:szCs w:val="20"/>
                <w:color w:val="auto"/>
              </w:rPr>
            </w:pPr>
            <w:r>
              <w:rPr>
                <w:rFonts w:ascii="Arial" w:cs="Arial" w:eastAsia="Arial" w:hAnsi="Arial"/>
                <w:sz w:val="18"/>
                <w:szCs w:val="18"/>
                <w:color w:val="auto"/>
              </w:rPr>
              <w:t>(4,211)</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1,423,952</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1,138,844</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Net average outstanding balance during the period</w:t>
            </w:r>
          </w:p>
        </w:tc>
        <w:tc>
          <w:tcPr>
            <w:tcW w:w="202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1,167,928</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1,477,788</w:t>
            </w:r>
          </w:p>
        </w:tc>
        <w:tc>
          <w:tcPr>
            <w:tcW w:w="16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7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bottom w:val="single" w:sz="8" w:color="CCEEFF"/>
            </w:tcBorders>
            <w:vMerge w:val="restart"/>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1,427,974</w:t>
            </w:r>
          </w:p>
        </w:tc>
        <w:tc>
          <w:tcPr>
            <w:tcW w:w="2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2,010,078</w:t>
            </w:r>
          </w:p>
        </w:tc>
        <w:tc>
          <w:tcPr>
            <w:tcW w:w="16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2.25% to 3.20</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1.35% to 3.25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U.S. dollars</w:t>
            </w:r>
          </w:p>
        </w:tc>
        <w:tc>
          <w:tcPr>
            <w:tcW w:w="17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2.85% to 3.25</w:t>
            </w:r>
          </w:p>
        </w:tc>
        <w:tc>
          <w:tcPr>
            <w:tcW w:w="2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2.61% to 3.01</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5.25% to 9.09</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4.89% to 9.09</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Mexican pesos</w:t>
            </w:r>
          </w:p>
        </w:tc>
        <w:tc>
          <w:tcPr>
            <w:tcW w:w="17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9.21% to 9.36</w:t>
            </w:r>
          </w:p>
        </w:tc>
        <w:tc>
          <w:tcPr>
            <w:tcW w:w="2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7.99% to 8.00</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Japanese yens</w:t>
            </w:r>
          </w:p>
        </w:tc>
        <w:tc>
          <w:tcPr>
            <w:tcW w:w="1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Euros</w:t>
            </w:r>
          </w:p>
        </w:tc>
        <w:tc>
          <w:tcPr>
            <w:tcW w:w="17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2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Australian dollar</w:t>
            </w:r>
          </w:p>
        </w:tc>
        <w:tc>
          <w:tcPr>
            <w:tcW w:w="1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3.38% to 3.77</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7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2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4.26</w:t>
            </w:r>
          </w:p>
        </w:tc>
        <w:tc>
          <w:tcPr>
            <w:tcW w:w="2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3.60</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4.01</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3.43</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20" w:type="dxa"/>
            <w:vAlign w:val="bottom"/>
            <w:vMerge w:val="restart"/>
          </w:tcPr>
          <w:p>
            <w:pPr>
              <w:ind w:left="5280"/>
              <w:spacing w:after="0"/>
              <w:rPr>
                <w:sz w:val="20"/>
                <w:szCs w:val="20"/>
                <w:color w:val="auto"/>
              </w:rPr>
            </w:pPr>
            <w:r>
              <w:rPr>
                <w:rFonts w:ascii="Arial" w:cs="Arial" w:eastAsia="Arial" w:hAnsi="Arial"/>
                <w:sz w:val="18"/>
                <w:szCs w:val="18"/>
                <w:color w:val="auto"/>
              </w:rPr>
              <w:t>50</w:t>
            </w:r>
          </w:p>
        </w:tc>
        <w:tc>
          <w:tcPr>
            <w:tcW w:w="17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7020" w:type="dxa"/>
            <w:vAlign w:val="bottom"/>
            <w:tcBorders>
              <w:bottom w:val="single" w:sz="8" w:color="auto"/>
            </w:tcBorders>
            <w:vMerge w:val="continue"/>
          </w:tcPr>
          <w:p>
            <w:pPr>
              <w:spacing w:after="0"/>
              <w:rPr>
                <w:sz w:val="24"/>
                <w:szCs w:val="24"/>
                <w:color w:val="auto"/>
              </w:rPr>
            </w:pPr>
          </w:p>
        </w:tc>
        <w:tc>
          <w:tcPr>
            <w:tcW w:w="17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8"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00" w:hanging="332"/>
        <w:spacing w:after="0" w:line="533" w:lineRule="auto"/>
        <w:tabs>
          <w:tab w:leader="none" w:pos="340" w:val="left"/>
        </w:tabs>
        <w:numPr>
          <w:ilvl w:val="0"/>
          <w:numId w:val="64"/>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78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7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210"/>
        </w:trPr>
        <w:tc>
          <w:tcPr>
            <w:tcW w:w="7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780" w:type="dxa"/>
            <w:vAlign w:val="bottom"/>
          </w:tcPr>
          <w:p>
            <w:pPr>
              <w:ind w:left="20"/>
              <w:spacing w:after="0"/>
              <w:rPr>
                <w:sz w:val="20"/>
                <w:szCs w:val="20"/>
                <w:color w:val="auto"/>
              </w:rPr>
            </w:pPr>
            <w:r>
              <w:rPr>
                <w:rFonts w:ascii="Arial" w:cs="Arial" w:eastAsia="Arial" w:hAnsi="Arial"/>
                <w:sz w:val="18"/>
                <w:szCs w:val="18"/>
                <w:color w:val="auto"/>
              </w:rPr>
              <w:t>US dollar</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1,121,010</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753,981</w:t>
            </w:r>
          </w:p>
        </w:tc>
      </w:tr>
      <w:tr>
        <w:trPr>
          <w:trHeight w:val="216"/>
        </w:trPr>
        <w:tc>
          <w:tcPr>
            <w:tcW w:w="778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154,294</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206,750</w:t>
            </w:r>
          </w:p>
        </w:tc>
      </w:tr>
      <w:tr>
        <w:trPr>
          <w:trHeight w:val="216"/>
        </w:trPr>
        <w:tc>
          <w:tcPr>
            <w:tcW w:w="7780" w:type="dxa"/>
            <w:vAlign w:val="bottom"/>
          </w:tcPr>
          <w:p>
            <w:pPr>
              <w:ind w:left="20"/>
              <w:spacing w:after="0"/>
              <w:rPr>
                <w:sz w:val="20"/>
                <w:szCs w:val="20"/>
                <w:color w:val="auto"/>
              </w:rPr>
            </w:pPr>
            <w:r>
              <w:rPr>
                <w:rFonts w:ascii="Arial" w:cs="Arial" w:eastAsia="Arial" w:hAnsi="Arial"/>
                <w:sz w:val="18"/>
                <w:szCs w:val="18"/>
                <w:color w:val="auto"/>
              </w:rPr>
              <w:t>Japanese yen</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70,280</w:t>
            </w:r>
          </w:p>
        </w:tc>
        <w:tc>
          <w:tcPr>
            <w:tcW w:w="1420" w:type="dxa"/>
            <w:vAlign w:val="bottom"/>
          </w:tcPr>
          <w:p>
            <w:pPr>
              <w:jc w:val="right"/>
              <w:spacing w:after="0"/>
              <w:rPr>
                <w:sz w:val="20"/>
                <w:szCs w:val="20"/>
                <w:color w:val="auto"/>
              </w:rPr>
            </w:pPr>
            <w:r>
              <w:rPr>
                <w:rFonts w:ascii="Arial" w:cs="Arial" w:eastAsia="Arial" w:hAnsi="Arial"/>
                <w:sz w:val="18"/>
                <w:szCs w:val="18"/>
                <w:color w:val="auto"/>
              </w:rPr>
              <w:t>98,711</w:t>
            </w:r>
          </w:p>
        </w:tc>
        <w:tc>
          <w:tcPr>
            <w:tcW w:w="100" w:type="dxa"/>
            <w:vAlign w:val="bottom"/>
          </w:tcPr>
          <w:p>
            <w:pPr>
              <w:spacing w:after="0"/>
              <w:rPr>
                <w:sz w:val="18"/>
                <w:szCs w:val="18"/>
                <w:color w:val="auto"/>
              </w:rPr>
            </w:pPr>
          </w:p>
        </w:tc>
      </w:tr>
      <w:tr>
        <w:trPr>
          <w:trHeight w:val="216"/>
        </w:trPr>
        <w:tc>
          <w:tcPr>
            <w:tcW w:w="7780" w:type="dxa"/>
            <w:vAlign w:val="bottom"/>
            <w:shd w:val="clear" w:color="auto" w:fill="CCEEFF"/>
          </w:tcPr>
          <w:p>
            <w:pPr>
              <w:ind w:left="20"/>
              <w:spacing w:after="0"/>
              <w:rPr>
                <w:sz w:val="20"/>
                <w:szCs w:val="20"/>
                <w:color w:val="auto"/>
              </w:rPr>
            </w:pPr>
            <w:r>
              <w:rPr>
                <w:rFonts w:ascii="Arial" w:cs="Arial" w:eastAsia="Arial" w:hAnsi="Arial"/>
                <w:sz w:val="18"/>
                <w:szCs w:val="18"/>
                <w:color w:val="auto"/>
              </w:rPr>
              <w:t>Euro</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60,713</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60,178</w:t>
            </w:r>
          </w:p>
        </w:tc>
      </w:tr>
      <w:tr>
        <w:trPr>
          <w:trHeight w:val="230"/>
        </w:trPr>
        <w:tc>
          <w:tcPr>
            <w:tcW w:w="7780" w:type="dxa"/>
            <w:vAlign w:val="bottom"/>
          </w:tcPr>
          <w:p>
            <w:pPr>
              <w:ind w:left="20"/>
              <w:spacing w:after="0"/>
              <w:rPr>
                <w:sz w:val="20"/>
                <w:szCs w:val="20"/>
                <w:color w:val="auto"/>
              </w:rPr>
            </w:pPr>
            <w:r>
              <w:rPr>
                <w:rFonts w:ascii="Arial" w:cs="Arial" w:eastAsia="Arial" w:hAnsi="Arial"/>
                <w:sz w:val="18"/>
                <w:szCs w:val="18"/>
                <w:color w:val="auto"/>
              </w:rPr>
              <w:t>Australian dollar</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21,677</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23,435</w:t>
            </w:r>
          </w:p>
        </w:tc>
      </w:tr>
      <w:tr>
        <w:trPr>
          <w:trHeight w:val="223"/>
        </w:trPr>
        <w:tc>
          <w:tcPr>
            <w:tcW w:w="77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1,427,974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1,143,055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2018, the Bank was in compliance with all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payments of long-term borrowings and debt outstanding as of September 30, 2018, are as follows:</w:t>
      </w:r>
    </w:p>
    <w:p>
      <w:pPr>
        <w:spacing w:after="0" w:line="221" w:lineRule="exact"/>
        <w:rPr>
          <w:sz w:val="20"/>
          <w:szCs w:val="20"/>
          <w:color w:val="auto"/>
        </w:rPr>
      </w:pPr>
    </w:p>
    <w:tbl>
      <w:tblPr>
        <w:tblLayout w:type="fixed"/>
        <w:tblInd w:w="2880" w:type="dxa"/>
        <w:tblCellMar>
          <w:top w:w="0" w:type="dxa"/>
          <w:left w:w="0" w:type="dxa"/>
          <w:bottom w:w="0" w:type="dxa"/>
          <w:right w:w="0" w:type="dxa"/>
        </w:tblCellMar>
      </w:tblPr>
      <w:tr>
        <w:trPr>
          <w:trHeight w:val="248"/>
        </w:trPr>
        <w:tc>
          <w:tcPr>
            <w:tcW w:w="4440" w:type="dxa"/>
            <w:vAlign w:val="bottom"/>
          </w:tcPr>
          <w:p>
            <w:pPr>
              <w:jc w:val="center"/>
              <w:spacing w:after="0"/>
              <w:rPr>
                <w:sz w:val="20"/>
                <w:szCs w:val="20"/>
                <w:color w:val="auto"/>
              </w:rPr>
            </w:pPr>
            <w:r>
              <w:rPr>
                <w:rFonts w:ascii="Arial" w:cs="Arial" w:eastAsia="Arial" w:hAnsi="Arial"/>
                <w:sz w:val="18"/>
                <w:szCs w:val="18"/>
                <w:b w:val="1"/>
                <w:bCs w:val="1"/>
                <w:color w:val="auto"/>
                <w:w w:val="89"/>
              </w:rPr>
              <w:t>Payments</w:t>
            </w:r>
          </w:p>
        </w:tc>
        <w:tc>
          <w:tcPr>
            <w:tcW w:w="1260" w:type="dxa"/>
            <w:vAlign w:val="bottom"/>
            <w:gridSpan w:val="2"/>
          </w:tcPr>
          <w:p>
            <w:pPr>
              <w:ind w:left="120"/>
              <w:spacing w:after="0"/>
              <w:rPr>
                <w:sz w:val="20"/>
                <w:szCs w:val="20"/>
                <w:color w:val="auto"/>
              </w:rPr>
            </w:pPr>
            <w:r>
              <w:rPr>
                <w:rFonts w:ascii="Arial" w:cs="Arial" w:eastAsia="Arial" w:hAnsi="Arial"/>
                <w:sz w:val="18"/>
                <w:szCs w:val="18"/>
                <w:b w:val="1"/>
                <w:bCs w:val="1"/>
                <w:color w:val="auto"/>
              </w:rPr>
              <w:t>Outstanding</w:t>
            </w:r>
          </w:p>
        </w:tc>
      </w:tr>
      <w:tr>
        <w:trPr>
          <w:trHeight w:val="210"/>
        </w:trPr>
        <w:tc>
          <w:tcPr>
            <w:tcW w:w="444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4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3,334</w:t>
            </w:r>
          </w:p>
        </w:tc>
        <w:tc>
          <w:tcPr>
            <w:tcW w:w="60" w:type="dxa"/>
            <w:vAlign w:val="bottom"/>
            <w:shd w:val="clear" w:color="auto" w:fill="CCEEFF"/>
          </w:tcPr>
          <w:p>
            <w:pPr>
              <w:spacing w:after="0"/>
              <w:rPr>
                <w:sz w:val="18"/>
                <w:szCs w:val="18"/>
                <w:color w:val="auto"/>
              </w:rPr>
            </w:pPr>
          </w:p>
        </w:tc>
      </w:tr>
      <w:tr>
        <w:trPr>
          <w:trHeight w:val="216"/>
        </w:trPr>
        <w:tc>
          <w:tcPr>
            <w:tcW w:w="4440" w:type="dxa"/>
            <w:vAlign w:val="bottom"/>
          </w:tcPr>
          <w:p>
            <w:pPr>
              <w:jc w:val="center"/>
              <w:spacing w:after="0"/>
              <w:rPr>
                <w:sz w:val="20"/>
                <w:szCs w:val="20"/>
                <w:color w:val="auto"/>
              </w:rPr>
            </w:pPr>
            <w:r>
              <w:rPr>
                <w:rFonts w:ascii="Arial" w:cs="Arial" w:eastAsia="Arial" w:hAnsi="Arial"/>
                <w:sz w:val="18"/>
                <w:szCs w:val="18"/>
                <w:color w:val="auto"/>
                <w:w w:val="89"/>
              </w:rPr>
              <w:t>2019</w:t>
            </w:r>
          </w:p>
        </w:tc>
        <w:tc>
          <w:tcPr>
            <w:tcW w:w="1200" w:type="dxa"/>
            <w:vAlign w:val="bottom"/>
          </w:tcPr>
          <w:p>
            <w:pPr>
              <w:jc w:val="right"/>
              <w:spacing w:after="0"/>
              <w:rPr>
                <w:sz w:val="20"/>
                <w:szCs w:val="20"/>
                <w:color w:val="auto"/>
              </w:rPr>
            </w:pPr>
            <w:r>
              <w:rPr>
                <w:rFonts w:ascii="Arial" w:cs="Arial" w:eastAsia="Arial" w:hAnsi="Arial"/>
                <w:sz w:val="18"/>
                <w:szCs w:val="18"/>
                <w:color w:val="auto"/>
              </w:rPr>
              <w:t>259,761</w:t>
            </w:r>
          </w:p>
        </w:tc>
        <w:tc>
          <w:tcPr>
            <w:tcW w:w="60" w:type="dxa"/>
            <w:vAlign w:val="bottom"/>
          </w:tcPr>
          <w:p>
            <w:pPr>
              <w:spacing w:after="0"/>
              <w:rPr>
                <w:sz w:val="18"/>
                <w:szCs w:val="18"/>
                <w:color w:val="auto"/>
              </w:rPr>
            </w:pPr>
          </w:p>
        </w:tc>
      </w:tr>
      <w:tr>
        <w:trPr>
          <w:trHeight w:val="216"/>
        </w:trPr>
        <w:tc>
          <w:tcPr>
            <w:tcW w:w="4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487,909</w:t>
            </w:r>
          </w:p>
        </w:tc>
        <w:tc>
          <w:tcPr>
            <w:tcW w:w="60" w:type="dxa"/>
            <w:vAlign w:val="bottom"/>
            <w:shd w:val="clear" w:color="auto" w:fill="CCEEFF"/>
          </w:tcPr>
          <w:p>
            <w:pPr>
              <w:spacing w:after="0"/>
              <w:rPr>
                <w:sz w:val="18"/>
                <w:szCs w:val="18"/>
                <w:color w:val="auto"/>
              </w:rPr>
            </w:pPr>
          </w:p>
        </w:tc>
      </w:tr>
      <w:tr>
        <w:trPr>
          <w:trHeight w:val="216"/>
        </w:trPr>
        <w:tc>
          <w:tcPr>
            <w:tcW w:w="4440" w:type="dxa"/>
            <w:vAlign w:val="bottom"/>
          </w:tcPr>
          <w:p>
            <w:pPr>
              <w:jc w:val="center"/>
              <w:spacing w:after="0"/>
              <w:rPr>
                <w:sz w:val="20"/>
                <w:szCs w:val="20"/>
                <w:color w:val="auto"/>
              </w:rPr>
            </w:pPr>
            <w:r>
              <w:rPr>
                <w:rFonts w:ascii="Arial" w:cs="Arial" w:eastAsia="Arial" w:hAnsi="Arial"/>
                <w:sz w:val="18"/>
                <w:szCs w:val="18"/>
                <w:color w:val="auto"/>
                <w:w w:val="89"/>
              </w:rPr>
              <w:t>2021</w:t>
            </w:r>
          </w:p>
        </w:tc>
        <w:tc>
          <w:tcPr>
            <w:tcW w:w="1200" w:type="dxa"/>
            <w:vAlign w:val="bottom"/>
          </w:tcPr>
          <w:p>
            <w:pPr>
              <w:jc w:val="right"/>
              <w:spacing w:after="0"/>
              <w:rPr>
                <w:sz w:val="20"/>
                <w:szCs w:val="20"/>
                <w:color w:val="auto"/>
              </w:rPr>
            </w:pPr>
            <w:r>
              <w:rPr>
                <w:rFonts w:ascii="Arial" w:cs="Arial" w:eastAsia="Arial" w:hAnsi="Arial"/>
                <w:sz w:val="18"/>
                <w:szCs w:val="18"/>
                <w:color w:val="auto"/>
              </w:rPr>
              <w:t>478,857</w:t>
            </w:r>
          </w:p>
        </w:tc>
        <w:tc>
          <w:tcPr>
            <w:tcW w:w="60" w:type="dxa"/>
            <w:vAlign w:val="bottom"/>
          </w:tcPr>
          <w:p>
            <w:pPr>
              <w:spacing w:after="0"/>
              <w:rPr>
                <w:sz w:val="18"/>
                <w:szCs w:val="18"/>
                <w:color w:val="auto"/>
              </w:rPr>
            </w:pPr>
          </w:p>
        </w:tc>
      </w:tr>
      <w:tr>
        <w:trPr>
          <w:trHeight w:val="216"/>
        </w:trPr>
        <w:tc>
          <w:tcPr>
            <w:tcW w:w="4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74,900</w:t>
            </w:r>
          </w:p>
        </w:tc>
        <w:tc>
          <w:tcPr>
            <w:tcW w:w="60" w:type="dxa"/>
            <w:vAlign w:val="bottom"/>
            <w:shd w:val="clear" w:color="auto" w:fill="CCEEFF"/>
          </w:tcPr>
          <w:p>
            <w:pPr>
              <w:spacing w:after="0"/>
              <w:rPr>
                <w:sz w:val="18"/>
                <w:szCs w:val="18"/>
                <w:color w:val="auto"/>
              </w:rPr>
            </w:pPr>
          </w:p>
        </w:tc>
      </w:tr>
      <w:tr>
        <w:trPr>
          <w:trHeight w:val="216"/>
        </w:trPr>
        <w:tc>
          <w:tcPr>
            <w:tcW w:w="4440" w:type="dxa"/>
            <w:vAlign w:val="bottom"/>
          </w:tcPr>
          <w:p>
            <w:pPr>
              <w:jc w:val="center"/>
              <w:spacing w:after="0"/>
              <w:rPr>
                <w:sz w:val="20"/>
                <w:szCs w:val="20"/>
                <w:color w:val="auto"/>
              </w:rPr>
            </w:pPr>
            <w:r>
              <w:rPr>
                <w:rFonts w:ascii="Arial" w:cs="Arial" w:eastAsia="Arial" w:hAnsi="Arial"/>
                <w:sz w:val="18"/>
                <w:szCs w:val="18"/>
                <w:color w:val="auto"/>
                <w:w w:val="89"/>
              </w:rPr>
              <w:t>2023</w:t>
            </w:r>
          </w:p>
        </w:tc>
        <w:tc>
          <w:tcPr>
            <w:tcW w:w="1200" w:type="dxa"/>
            <w:vAlign w:val="bottom"/>
          </w:tcPr>
          <w:p>
            <w:pPr>
              <w:jc w:val="right"/>
              <w:spacing w:after="0"/>
              <w:rPr>
                <w:sz w:val="20"/>
                <w:szCs w:val="20"/>
                <w:color w:val="auto"/>
              </w:rPr>
            </w:pPr>
            <w:r>
              <w:rPr>
                <w:rFonts w:ascii="Arial" w:cs="Arial" w:eastAsia="Arial" w:hAnsi="Arial"/>
                <w:sz w:val="18"/>
                <w:szCs w:val="18"/>
                <w:color w:val="auto"/>
              </w:rPr>
              <w:t>62,500</w:t>
            </w:r>
          </w:p>
        </w:tc>
        <w:tc>
          <w:tcPr>
            <w:tcW w:w="60" w:type="dxa"/>
            <w:vAlign w:val="bottom"/>
          </w:tcPr>
          <w:p>
            <w:pPr>
              <w:spacing w:after="0"/>
              <w:rPr>
                <w:sz w:val="18"/>
                <w:szCs w:val="18"/>
                <w:color w:val="auto"/>
              </w:rPr>
            </w:pPr>
          </w:p>
        </w:tc>
      </w:tr>
      <w:tr>
        <w:trPr>
          <w:trHeight w:val="230"/>
        </w:trPr>
        <w:tc>
          <w:tcPr>
            <w:tcW w:w="4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2024</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60,713</w:t>
            </w:r>
          </w:p>
        </w:tc>
        <w:tc>
          <w:tcPr>
            <w:tcW w:w="60" w:type="dxa"/>
            <w:vAlign w:val="bottom"/>
            <w:shd w:val="clear" w:color="auto" w:fill="CCEEFF"/>
          </w:tcPr>
          <w:p>
            <w:pPr>
              <w:spacing w:after="0"/>
              <w:rPr>
                <w:sz w:val="19"/>
                <w:szCs w:val="19"/>
                <w:color w:val="auto"/>
              </w:rPr>
            </w:pPr>
          </w:p>
        </w:tc>
      </w:tr>
      <w:tr>
        <w:trPr>
          <w:trHeight w:val="223"/>
        </w:trPr>
        <w:tc>
          <w:tcPr>
            <w:tcW w:w="444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1,427,974</w:t>
            </w:r>
          </w:p>
        </w:tc>
        <w:tc>
          <w:tcPr>
            <w:tcW w:w="60" w:type="dxa"/>
            <w:vAlign w:val="bottom"/>
          </w:tcPr>
          <w:p>
            <w:pPr>
              <w:spacing w:after="0"/>
              <w:rPr>
                <w:sz w:val="19"/>
                <w:szCs w:val="19"/>
                <w:color w:val="auto"/>
              </w:rPr>
            </w:pPr>
          </w:p>
        </w:tc>
      </w:tr>
      <w:tr>
        <w:trPr>
          <w:trHeight w:val="20"/>
        </w:trPr>
        <w:tc>
          <w:tcPr>
            <w:tcW w:w="44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Other liabilities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liabilities: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140" w:type="dxa"/>
            <w:vAlign w:val="bottom"/>
          </w:tcPr>
          <w:p>
            <w:pPr>
              <w:spacing w:after="0"/>
              <w:rPr>
                <w:sz w:val="20"/>
                <w:szCs w:val="20"/>
                <w:color w:val="auto"/>
              </w:rPr>
            </w:pPr>
          </w:p>
        </w:tc>
        <w:tc>
          <w:tcPr>
            <w:tcW w:w="506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420" w:type="dxa"/>
            <w:vAlign w:val="bottom"/>
          </w:tcPr>
          <w:p>
            <w:pPr>
              <w:jc w:val="right"/>
              <w:ind w:right="4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364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1,660</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8,018</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Accounts payable</w:t>
            </w:r>
          </w:p>
        </w:tc>
        <w:tc>
          <w:tcPr>
            <w:tcW w:w="5280" w:type="dxa"/>
            <w:vAlign w:val="bottom"/>
            <w:gridSpan w:val="3"/>
          </w:tcPr>
          <w:p>
            <w:pPr>
              <w:jc w:val="right"/>
              <w:ind w:right="220"/>
              <w:spacing w:after="0"/>
              <w:rPr>
                <w:sz w:val="20"/>
                <w:szCs w:val="20"/>
                <w:color w:val="auto"/>
              </w:rPr>
            </w:pPr>
            <w:r>
              <w:rPr>
                <w:rFonts w:ascii="Arial" w:cs="Arial" w:eastAsia="Arial" w:hAnsi="Arial"/>
                <w:sz w:val="18"/>
                <w:szCs w:val="18"/>
                <w:color w:val="auto"/>
              </w:rPr>
              <w:t>5,815</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9,307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52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8,203</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3,226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40" w:type="dxa"/>
            <w:vAlign w:val="bottom"/>
          </w:tcPr>
          <w:p>
            <w:pPr>
              <w:spacing w:after="0"/>
              <w:rPr>
                <w:sz w:val="19"/>
                <w:szCs w:val="19"/>
                <w:color w:val="auto"/>
              </w:rPr>
            </w:pPr>
          </w:p>
        </w:tc>
        <w:tc>
          <w:tcPr>
            <w:tcW w:w="364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15,678</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20,551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3640" w:type="dxa"/>
            <w:vAlign w:val="bottom"/>
            <w:vMerge w:val="restart"/>
          </w:tcPr>
          <w:p>
            <w:pPr>
              <w:jc w:val="right"/>
              <w:ind w:right="2230"/>
              <w:spacing w:after="0"/>
              <w:rPr>
                <w:sz w:val="20"/>
                <w:szCs w:val="20"/>
                <w:color w:val="auto"/>
              </w:rPr>
            </w:pPr>
            <w:r>
              <w:rPr>
                <w:rFonts w:ascii="Arial" w:cs="Arial" w:eastAsia="Arial" w:hAnsi="Arial"/>
                <w:sz w:val="18"/>
                <w:szCs w:val="18"/>
                <w:color w:val="auto"/>
              </w:rPr>
              <w:t>51</w:t>
            </w: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vMerge w:val="continue"/>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8" w:right="239" w:bottom="1440" w:gutter="0" w:footer="0" w:header="0"/>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Earnings per share</w:t>
      </w:r>
    </w:p>
    <w:p>
      <w:pPr>
        <w:spacing w:after="0" w:line="229"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ectPr>
          <w:pgSz w:w="11900" w:h="16838" w:orient="portrait"/>
          <w:cols w:equalWidth="0" w:num="1">
            <w:col w:w="11420"/>
          </w:cols>
          <w:pgMar w:left="240" w:top="877"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55155" cy="1460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(Loss) 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955155" cy="14605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(loss)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Diluted (loss)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22860</wp:posOffset>
            </wp:positionV>
            <wp:extent cx="6955155" cy="1460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(Share units)</w:t>
      </w:r>
    </w:p>
    <w:p>
      <w:pPr>
        <w:spacing w:after="0" w:line="23" w:lineRule="exact"/>
        <w:rPr>
          <w:sz w:val="20"/>
          <w:szCs w:val="20"/>
          <w:color w:val="auto"/>
        </w:rPr>
      </w:pPr>
    </w:p>
    <w:p>
      <w:pPr>
        <w:ind w:left="340"/>
        <w:spacing w:after="0"/>
        <w:tabs>
          <w:tab w:leader="none" w:pos="3900" w:val="left"/>
        </w:tabs>
        <w:rPr>
          <w:sz w:val="20"/>
          <w:szCs w:val="20"/>
          <w:color w:val="auto"/>
        </w:rPr>
      </w:pPr>
      <w:r>
        <w:rPr>
          <w:rFonts w:ascii="Arial" w:cs="Arial" w:eastAsia="Arial" w:hAnsi="Arial"/>
          <w:sz w:val="18"/>
          <w:szCs w:val="18"/>
          <w:color w:val="auto"/>
        </w:rPr>
        <w:t>Weighted average common shares outstanding -</w:t>
      </w:r>
      <w:r>
        <w:rPr>
          <w:sz w:val="20"/>
          <w:szCs w:val="20"/>
          <w:color w:val="auto"/>
        </w:rPr>
        <w:tab/>
      </w:r>
      <w:r>
        <w:rPr>
          <w:rFonts w:ascii="Arial" w:cs="Arial" w:eastAsia="Arial" w:hAnsi="Arial"/>
          <w:sz w:val="16"/>
          <w:szCs w:val="16"/>
          <w:color w:val="auto"/>
        </w:rPr>
        <w:t>applicable to basic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3716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1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Stock options and restricted stock units plan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955155" cy="16319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55155" cy="14605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(Loss) 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955155" cy="1460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(loss)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Diluted (loss)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22860</wp:posOffset>
            </wp:positionV>
            <wp:extent cx="6955155" cy="1460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(Share units)</w:t>
      </w:r>
    </w:p>
    <w:p>
      <w:pPr>
        <w:spacing w:after="0" w:line="23" w:lineRule="exact"/>
        <w:rPr>
          <w:sz w:val="20"/>
          <w:szCs w:val="20"/>
          <w:color w:val="auto"/>
        </w:rPr>
      </w:pPr>
    </w:p>
    <w:p>
      <w:pPr>
        <w:ind w:left="340"/>
        <w:spacing w:after="0"/>
        <w:tabs>
          <w:tab w:leader="none" w:pos="3900" w:val="left"/>
        </w:tabs>
        <w:rPr>
          <w:sz w:val="20"/>
          <w:szCs w:val="20"/>
          <w:color w:val="auto"/>
        </w:rPr>
      </w:pPr>
      <w:r>
        <w:rPr>
          <w:rFonts w:ascii="Arial" w:cs="Arial" w:eastAsia="Arial" w:hAnsi="Arial"/>
          <w:sz w:val="18"/>
          <w:szCs w:val="18"/>
          <w:color w:val="auto"/>
        </w:rPr>
        <w:t>Weighted average common shares outstanding -</w:t>
      </w:r>
      <w:r>
        <w:rPr>
          <w:sz w:val="20"/>
          <w:szCs w:val="20"/>
          <w:color w:val="auto"/>
        </w:rPr>
        <w:tab/>
      </w:r>
      <w:r>
        <w:rPr>
          <w:rFonts w:ascii="Arial" w:cs="Arial" w:eastAsia="Arial" w:hAnsi="Arial"/>
          <w:sz w:val="16"/>
          <w:szCs w:val="16"/>
          <w:color w:val="auto"/>
        </w:rPr>
        <w:t>applicable to basic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3716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1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Stock options and restricted stock units plan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955155" cy="16319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ind w:right="240"/>
        <w:spacing w:after="0"/>
        <w:rPr>
          <w:sz w:val="20"/>
          <w:szCs w:val="20"/>
          <w:color w:val="auto"/>
        </w:rPr>
      </w:pPr>
      <w:r>
        <w:rPr>
          <w:rFonts w:ascii="Arial" w:cs="Arial" w:eastAsia="Arial" w:hAnsi="Arial"/>
          <w:sz w:val="18"/>
          <w:szCs w:val="18"/>
          <w:b w:val="1"/>
          <w:bCs w:val="1"/>
          <w:color w:val="auto"/>
        </w:rPr>
        <w:t>Three months ended September 30th</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256413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2564130" cy="8890"/>
                    </a:xfrm>
                    <a:prstGeom prst="rect">
                      <a:avLst/>
                    </a:prstGeom>
                    <a:noFill/>
                  </pic:spPr>
                </pic:pic>
              </a:graphicData>
            </a:graphic>
          </wp:anchor>
        </w:drawing>
      </w:r>
    </w:p>
    <w:p>
      <w:pPr>
        <w:spacing w:after="0" w:line="16" w:lineRule="exact"/>
        <w:rPr>
          <w:sz w:val="20"/>
          <w:szCs w:val="20"/>
          <w:color w:val="auto"/>
        </w:rPr>
      </w:pPr>
    </w:p>
    <w:p>
      <w:pPr>
        <w:ind w:left="420"/>
        <w:spacing w:after="0"/>
        <w:tabs>
          <w:tab w:leader="none" w:pos="1820" w:val="left"/>
          <w:tab w:leader="none" w:pos="3240" w:val="left"/>
        </w:tabs>
        <w:rPr>
          <w:sz w:val="20"/>
          <w:szCs w:val="20"/>
          <w:color w:val="auto"/>
        </w:rPr>
      </w:pPr>
      <w:r>
        <w:rPr>
          <w:rFonts w:ascii="Arial" w:cs="Arial" w:eastAsia="Arial" w:hAnsi="Arial"/>
          <w:sz w:val="18"/>
          <w:szCs w:val="18"/>
          <w:b w:val="1"/>
          <w:bCs w:val="1"/>
          <w:color w:val="auto"/>
        </w:rPr>
        <w:t>2018</w:t>
      </w:r>
      <w:r>
        <w:rPr>
          <w:sz w:val="20"/>
          <w:szCs w:val="20"/>
          <w:color w:val="auto"/>
        </w:rPr>
        <w:tab/>
      </w:r>
      <w:r>
        <w:rPr>
          <w:rFonts w:ascii="Arial" w:cs="Arial" w:eastAsia="Arial" w:hAnsi="Arial"/>
          <w:sz w:val="18"/>
          <w:szCs w:val="18"/>
          <w:b w:val="1"/>
          <w:bCs w:val="1"/>
          <w:color w:val="auto"/>
        </w:rPr>
        <w:t>2017</w:t>
      </w:r>
      <w:r>
        <w:rPr>
          <w:sz w:val="20"/>
          <w:szCs w:val="20"/>
          <w:color w:val="auto"/>
        </w:rPr>
        <w:tab/>
      </w:r>
      <w:r>
        <w:rPr>
          <w:rFonts w:ascii="Arial" w:cs="Arial" w:eastAsia="Arial" w:hAnsi="Arial"/>
          <w:sz w:val="16"/>
          <w:szCs w:val="16"/>
          <w:b w:val="1"/>
          <w:bCs w:val="1"/>
          <w:color w:val="auto"/>
        </w:rPr>
        <w:t>2016</w:t>
      </w:r>
    </w:p>
    <w:p>
      <w:pPr>
        <w:spacing w:after="0" w:line="243" w:lineRule="exact"/>
        <w:rPr>
          <w:sz w:val="20"/>
          <w:szCs w:val="20"/>
          <w:color w:val="auto"/>
        </w:rPr>
      </w:pPr>
    </w:p>
    <w:tbl>
      <w:tblPr>
        <w:tblLayout w:type="fixed"/>
        <w:tblInd w:w="0" w:type="dxa"/>
        <w:tblCellMar>
          <w:top w:w="0" w:type="dxa"/>
          <w:left w:w="0" w:type="dxa"/>
          <w:bottom w:w="0" w:type="dxa"/>
          <w:right w:w="0" w:type="dxa"/>
        </w:tblCellMar>
      </w:tblPr>
      <w:tr>
        <w:trPr>
          <w:trHeight w:val="244"/>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(40,719)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20,461</w:t>
            </w:r>
          </w:p>
        </w:tc>
        <w:tc>
          <w:tcPr>
            <w:tcW w:w="1200" w:type="dxa"/>
            <w:vAlign w:val="bottom"/>
          </w:tcPr>
          <w:p>
            <w:pPr>
              <w:jc w:val="right"/>
              <w:spacing w:after="0"/>
              <w:rPr>
                <w:sz w:val="20"/>
                <w:szCs w:val="20"/>
                <w:color w:val="auto"/>
              </w:rPr>
            </w:pPr>
            <w:r>
              <w:rPr>
                <w:rFonts w:ascii="Arial" w:cs="Arial" w:eastAsia="Arial" w:hAnsi="Arial"/>
                <w:sz w:val="18"/>
                <w:szCs w:val="18"/>
                <w:color w:val="auto"/>
              </w:rPr>
              <w:t>27,991</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r>
      <w:tr>
        <w:trPr>
          <w:trHeight w:val="655"/>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(1.03)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0.52</w:t>
            </w:r>
          </w:p>
        </w:tc>
        <w:tc>
          <w:tcPr>
            <w:tcW w:w="1200" w:type="dxa"/>
            <w:vAlign w:val="bottom"/>
          </w:tcPr>
          <w:p>
            <w:pPr>
              <w:jc w:val="right"/>
              <w:spacing w:after="0"/>
              <w:rPr>
                <w:sz w:val="20"/>
                <w:szCs w:val="20"/>
                <w:color w:val="auto"/>
              </w:rPr>
            </w:pPr>
            <w:r>
              <w:rPr>
                <w:rFonts w:ascii="Arial" w:cs="Arial" w:eastAsia="Arial" w:hAnsi="Arial"/>
                <w:sz w:val="18"/>
                <w:szCs w:val="18"/>
                <w:color w:val="auto"/>
              </w:rPr>
              <w:t>0.72</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(1.03</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0.52</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0.71</w:t>
            </w:r>
          </w:p>
        </w:tc>
      </w:tr>
      <w:tr>
        <w:trPr>
          <w:trHeight w:val="642"/>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39,540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39,362</w:t>
            </w:r>
          </w:p>
        </w:tc>
        <w:tc>
          <w:tcPr>
            <w:tcW w:w="1200" w:type="dxa"/>
            <w:vAlign w:val="bottom"/>
          </w:tcPr>
          <w:p>
            <w:pPr>
              <w:jc w:val="right"/>
              <w:spacing w:after="0"/>
              <w:rPr>
                <w:sz w:val="20"/>
                <w:szCs w:val="20"/>
                <w:color w:val="auto"/>
              </w:rPr>
            </w:pPr>
            <w:r>
              <w:rPr>
                <w:rFonts w:ascii="Arial" w:cs="Arial" w:eastAsia="Arial" w:hAnsi="Arial"/>
                <w:sz w:val="18"/>
                <w:szCs w:val="18"/>
                <w:color w:val="auto"/>
              </w:rPr>
              <w:t>39,102</w:t>
            </w:r>
          </w:p>
        </w:tc>
      </w:tr>
      <w:tr>
        <w:trPr>
          <w:trHeight w:val="662"/>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51</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123</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39,540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39,413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39,225</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426"/>
        </w:trPr>
        <w:tc>
          <w:tcPr>
            <w:tcW w:w="4040" w:type="dxa"/>
            <w:vAlign w:val="bottom"/>
            <w:tcBorders>
              <w:bottom w:val="single" w:sz="8" w:color="auto"/>
            </w:tcBorders>
            <w:gridSpan w:val="5"/>
          </w:tcPr>
          <w:p>
            <w:pPr>
              <w:jc w:val="right"/>
              <w:ind w:right="570"/>
              <w:spacing w:after="0"/>
              <w:rPr>
                <w:sz w:val="20"/>
                <w:szCs w:val="20"/>
                <w:color w:val="auto"/>
              </w:rPr>
            </w:pPr>
            <w:r>
              <w:rPr>
                <w:rFonts w:ascii="Arial" w:cs="Arial" w:eastAsia="Arial" w:hAnsi="Arial"/>
                <w:sz w:val="18"/>
                <w:szCs w:val="18"/>
                <w:b w:val="1"/>
                <w:bCs w:val="1"/>
                <w:color w:val="auto"/>
              </w:rPr>
              <w:t>Nine months ended September 30th</w:t>
            </w:r>
          </w:p>
        </w:tc>
      </w:tr>
      <w:tr>
        <w:trPr>
          <w:trHeight w:val="223"/>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r>
      <w:tr>
        <w:trPr>
          <w:trHeight w:val="439"/>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(9,595)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61,400</w:t>
            </w:r>
          </w:p>
        </w:tc>
        <w:tc>
          <w:tcPr>
            <w:tcW w:w="1200" w:type="dxa"/>
            <w:vAlign w:val="bottom"/>
          </w:tcPr>
          <w:p>
            <w:pPr>
              <w:jc w:val="right"/>
              <w:spacing w:after="0"/>
              <w:rPr>
                <w:sz w:val="20"/>
                <w:szCs w:val="20"/>
                <w:color w:val="auto"/>
              </w:rPr>
            </w:pPr>
            <w:r>
              <w:rPr>
                <w:rFonts w:ascii="Arial" w:cs="Arial" w:eastAsia="Arial" w:hAnsi="Arial"/>
                <w:sz w:val="18"/>
                <w:szCs w:val="18"/>
                <w:color w:val="auto"/>
              </w:rPr>
              <w:t>73,701</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r>
      <w:tr>
        <w:trPr>
          <w:trHeight w:val="655"/>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(0.24)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1.56</w:t>
            </w:r>
          </w:p>
        </w:tc>
        <w:tc>
          <w:tcPr>
            <w:tcW w:w="1200" w:type="dxa"/>
            <w:vAlign w:val="bottom"/>
          </w:tcPr>
          <w:p>
            <w:pPr>
              <w:jc w:val="right"/>
              <w:spacing w:after="0"/>
              <w:rPr>
                <w:sz w:val="20"/>
                <w:szCs w:val="20"/>
                <w:color w:val="auto"/>
              </w:rPr>
            </w:pPr>
            <w:r>
              <w:rPr>
                <w:rFonts w:ascii="Arial" w:cs="Arial" w:eastAsia="Arial" w:hAnsi="Arial"/>
                <w:sz w:val="18"/>
                <w:szCs w:val="18"/>
                <w:color w:val="auto"/>
              </w:rPr>
              <w:t>1.89</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(0.24</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1.88</w:t>
            </w:r>
          </w:p>
        </w:tc>
      </w:tr>
      <w:tr>
        <w:trPr>
          <w:trHeight w:val="642"/>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39,544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39,289</w:t>
            </w:r>
          </w:p>
        </w:tc>
        <w:tc>
          <w:tcPr>
            <w:tcW w:w="1200" w:type="dxa"/>
            <w:vAlign w:val="bottom"/>
          </w:tcPr>
          <w:p>
            <w:pPr>
              <w:jc w:val="right"/>
              <w:spacing w:after="0"/>
              <w:rPr>
                <w:sz w:val="20"/>
                <w:szCs w:val="20"/>
                <w:color w:val="auto"/>
              </w:rPr>
            </w:pPr>
            <w:r>
              <w:rPr>
                <w:rFonts w:ascii="Arial" w:cs="Arial" w:eastAsia="Arial" w:hAnsi="Arial"/>
                <w:sz w:val="18"/>
                <w:szCs w:val="18"/>
                <w:color w:val="auto"/>
              </w:rPr>
              <w:t>39,059</w:t>
            </w:r>
          </w:p>
        </w:tc>
      </w:tr>
      <w:tr>
        <w:trPr>
          <w:trHeight w:val="662"/>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119</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39,544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39,319</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39,178</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420" w:space="720"/>
            <w:col w:w="4280"/>
          </w:cols>
          <w:pgMar w:left="240" w:top="877" w:right="239" w:bottom="1440" w:gutter="0" w:footer="0" w:header="0"/>
          <w:type w:val="continuous"/>
        </w:sect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type w:val="continuous"/>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480" w:hanging="332"/>
        <w:spacing w:after="0" w:line="503" w:lineRule="auto"/>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Capital and additional paid-in capital in excess </w:t>
      </w:r>
      <w:r>
        <w:rPr>
          <w:rFonts w:ascii="Arial" w:cs="Arial" w:eastAsia="Arial" w:hAnsi="Arial"/>
          <w:sz w:val="18"/>
          <w:szCs w:val="18"/>
          <w:u w:val="single" w:color="auto"/>
          <w:color w:val="auto"/>
        </w:rPr>
        <w:t>Common stock</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common stock is divided into four categories:</w:t>
      </w:r>
    </w:p>
    <w:p>
      <w:pPr>
        <w:spacing w:after="0" w:line="225" w:lineRule="exact"/>
        <w:rPr>
          <w:rFonts w:ascii="Arial" w:cs="Arial" w:eastAsia="Arial" w:hAnsi="Arial"/>
          <w:sz w:val="18"/>
          <w:szCs w:val="18"/>
          <w:b w:val="1"/>
          <w:bCs w:val="1"/>
          <w:color w:val="auto"/>
        </w:rPr>
      </w:pPr>
    </w:p>
    <w:p>
      <w:pPr>
        <w:ind w:left="980" w:hanging="324"/>
        <w:spacing w:after="0" w:line="258" w:lineRule="auto"/>
        <w:tabs>
          <w:tab w:leader="none" w:pos="980" w:val="left"/>
        </w:tabs>
        <w:numPr>
          <w:ilvl w:val="1"/>
          <w:numId w:val="66"/>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980" w:hanging="324"/>
        <w:spacing w:after="0"/>
        <w:tabs>
          <w:tab w:leader="none" w:pos="980" w:val="left"/>
        </w:tabs>
        <w:numPr>
          <w:ilvl w:val="1"/>
          <w:numId w:val="66"/>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66"/>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980" w:hanging="324"/>
        <w:spacing w:after="0" w:line="290" w:lineRule="auto"/>
        <w:tabs>
          <w:tab w:leader="none" w:pos="980" w:val="left"/>
        </w:tabs>
        <w:numPr>
          <w:ilvl w:val="1"/>
          <w:numId w:val="66"/>
        </w:numPr>
        <w:rPr>
          <w:rFonts w:ascii="Arial" w:cs="Arial" w:eastAsia="Arial" w:hAnsi="Arial"/>
          <w:sz w:val="17"/>
          <w:szCs w:val="17"/>
          <w:color w:val="auto"/>
        </w:rPr>
      </w:pPr>
      <w:r>
        <w:rPr>
          <w:rFonts w:ascii="Arial" w:cs="Arial" w:eastAsia="Arial" w:hAnsi="Arial"/>
          <w:sz w:val="17"/>
          <w:szCs w:val="17"/>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6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provides detailed information on the Bank’s common stock activity per class for each of the periods in the three-years ended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September 30, 2018, 2017and 2016:</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(Share units)</w:t>
            </w:r>
          </w:p>
        </w:tc>
        <w:tc>
          <w:tcPr>
            <w:tcW w:w="1520" w:type="dxa"/>
            <w:vAlign w:val="bottom"/>
            <w:gridSpan w:val="2"/>
          </w:tcPr>
          <w:p>
            <w:pPr>
              <w:ind w:left="260"/>
              <w:spacing w:after="0"/>
              <w:rPr>
                <w:sz w:val="20"/>
                <w:szCs w:val="20"/>
                <w:color w:val="auto"/>
              </w:rPr>
            </w:pPr>
            <w:r>
              <w:rPr>
                <w:rFonts w:ascii="Arial" w:cs="Arial" w:eastAsia="Arial" w:hAnsi="Arial"/>
                <w:sz w:val="18"/>
                <w:szCs w:val="18"/>
                <w:b w:val="1"/>
                <w:bCs w:val="1"/>
                <w:color w:val="auto"/>
              </w:rPr>
              <w:t>“Class A”</w:t>
            </w:r>
          </w:p>
        </w:tc>
        <w:tc>
          <w:tcPr>
            <w:tcW w:w="15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“Class B”</w:t>
            </w:r>
          </w:p>
        </w:tc>
        <w:tc>
          <w:tcPr>
            <w:tcW w:w="14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“Class E”</w:t>
            </w:r>
          </w:p>
        </w:tc>
        <w:tc>
          <w:tcPr>
            <w:tcW w:w="1440" w:type="dxa"/>
            <w:vAlign w:val="bottom"/>
            <w:gridSpan w:val="2"/>
          </w:tcPr>
          <w:p>
            <w:pPr>
              <w:ind w:left="240"/>
              <w:spacing w:after="0"/>
              <w:rPr>
                <w:sz w:val="20"/>
                <w:szCs w:val="20"/>
                <w:color w:val="auto"/>
              </w:rPr>
            </w:pPr>
            <w:r>
              <w:rPr>
                <w:rFonts w:ascii="Arial" w:cs="Arial" w:eastAsia="Arial" w:hAnsi="Arial"/>
                <w:sz w:val="18"/>
                <w:szCs w:val="18"/>
                <w:b w:val="1"/>
                <w:bCs w:val="1"/>
                <w:color w:val="auto"/>
              </w:rPr>
              <w:t>“Class F”</w:t>
            </w:r>
          </w:p>
        </w:tc>
        <w:tc>
          <w:tcPr>
            <w:tcW w:w="1360" w:type="dxa"/>
            <w:vAlign w:val="bottom"/>
            <w:gridSpan w:val="3"/>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2016</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2,474,469</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30,152,247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38,968,905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Conversions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68,409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68,409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65,358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65,358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September 30, 2016</w:t>
            </w: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4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2,474,469</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30,343,014</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39,159,672</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January 1, 2017</w:t>
            </w:r>
          </w:p>
        </w:tc>
        <w:tc>
          <w:tcPr>
            <w:tcW w:w="1280" w:type="dxa"/>
            <w:vAlign w:val="bottom"/>
          </w:tcPr>
          <w:p>
            <w:pPr>
              <w:jc w:val="right"/>
              <w:spacing w:after="0"/>
              <w:rPr>
                <w:sz w:val="20"/>
                <w:szCs w:val="20"/>
                <w:color w:val="auto"/>
              </w:rPr>
            </w:pPr>
            <w:r>
              <w:rPr>
                <w:rFonts w:ascii="Arial" w:cs="Arial" w:eastAsia="Arial" w:hAnsi="Arial"/>
                <w:sz w:val="18"/>
                <w:szCs w:val="18"/>
                <w:color w:val="auto"/>
              </w:rPr>
              <w:t>6,342,189</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2,474,469</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30,343,390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39,160,048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(64,663)</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64,663</w:t>
            </w: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(1,000)</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77,995</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77,995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70,519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70,519</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September 30, 2017</w:t>
            </w: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4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2,408,806</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30,613,567</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39,364,562</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January 1, 2018</w:t>
            </w:r>
          </w:p>
        </w:tc>
        <w:tc>
          <w:tcPr>
            <w:tcW w:w="1280" w:type="dxa"/>
            <w:vAlign w:val="bottom"/>
          </w:tcPr>
          <w:p>
            <w:pPr>
              <w:jc w:val="right"/>
              <w:spacing w:after="0"/>
              <w:rPr>
                <w:sz w:val="20"/>
                <w:szCs w:val="20"/>
                <w:color w:val="auto"/>
              </w:rPr>
            </w:pPr>
            <w:r>
              <w:rPr>
                <w:rFonts w:ascii="Arial" w:cs="Arial" w:eastAsia="Arial" w:hAnsi="Arial"/>
                <w:sz w:val="18"/>
                <w:szCs w:val="18"/>
                <w:color w:val="auto"/>
              </w:rPr>
              <w:t>6,342,189</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2,408,806</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30,677,840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39,428,835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(64,386)</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64,386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(99,193)</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(64)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(99,257)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102,918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102,918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49,055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49,055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September 30, 2018</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4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2,245,227</w:t>
            </w:r>
          </w:p>
        </w:tc>
        <w:tc>
          <w:tcPr>
            <w:tcW w:w="2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30,951,135</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39,538,551</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Additional paid-in capital in excess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September 30, 2018, and December 31, 2017, the additional paid-in capital consists of additional cash contributions to the common capital paid by shareholders.</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Treasury stock</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2100" w:type="dxa"/>
            <w:vAlign w:val="bottom"/>
            <w:gridSpan w:val="4"/>
          </w:tcPr>
          <w:p>
            <w:pPr>
              <w:ind w:left="620"/>
              <w:spacing w:after="0"/>
              <w:rPr>
                <w:sz w:val="20"/>
                <w:szCs w:val="20"/>
                <w:color w:val="auto"/>
              </w:rPr>
            </w:pPr>
            <w:r>
              <w:rPr>
                <w:rFonts w:ascii="Arial" w:cs="Arial" w:eastAsia="Arial" w:hAnsi="Arial"/>
                <w:sz w:val="14"/>
                <w:szCs w:val="14"/>
                <w:b w:val="1"/>
                <w:bCs w:val="1"/>
                <w:color w:val="auto"/>
              </w:rPr>
              <w:t>“Class A”</w:t>
            </w:r>
          </w:p>
        </w:tc>
        <w:tc>
          <w:tcPr>
            <w:tcW w:w="2100" w:type="dxa"/>
            <w:vAlign w:val="bottom"/>
            <w:gridSpan w:val="4"/>
          </w:tcPr>
          <w:p>
            <w:pPr>
              <w:jc w:val="right"/>
              <w:ind w:right="860"/>
              <w:spacing w:after="0"/>
              <w:rPr>
                <w:sz w:val="20"/>
                <w:szCs w:val="20"/>
                <w:color w:val="auto"/>
              </w:rPr>
            </w:pPr>
            <w:r>
              <w:rPr>
                <w:rFonts w:ascii="Arial" w:cs="Arial" w:eastAsia="Arial" w:hAnsi="Arial"/>
                <w:sz w:val="14"/>
                <w:szCs w:val="14"/>
                <w:b w:val="1"/>
                <w:bCs w:val="1"/>
                <w:color w:val="auto"/>
              </w:rPr>
              <w:t>“Class B”</w:t>
            </w:r>
          </w:p>
        </w:tc>
        <w:tc>
          <w:tcPr>
            <w:tcW w:w="1980" w:type="dxa"/>
            <w:vAlign w:val="bottom"/>
            <w:gridSpan w:val="4"/>
          </w:tcPr>
          <w:p>
            <w:pPr>
              <w:jc w:val="right"/>
              <w:ind w:right="800"/>
              <w:spacing w:after="0"/>
              <w:rPr>
                <w:sz w:val="20"/>
                <w:szCs w:val="20"/>
                <w:color w:val="auto"/>
              </w:rPr>
            </w:pPr>
            <w:r>
              <w:rPr>
                <w:rFonts w:ascii="Arial" w:cs="Arial" w:eastAsia="Arial" w:hAnsi="Arial"/>
                <w:sz w:val="14"/>
                <w:szCs w:val="14"/>
                <w:b w:val="1"/>
                <w:bCs w:val="1"/>
                <w:color w:val="auto"/>
              </w:rPr>
              <w:t>“Class E”</w:t>
            </w:r>
          </w:p>
        </w:tc>
        <w:tc>
          <w:tcPr>
            <w:tcW w:w="1100" w:type="dxa"/>
            <w:vAlign w:val="bottom"/>
            <w:gridSpan w:val="3"/>
          </w:tcPr>
          <w:p>
            <w:pPr>
              <w:ind w:left="740"/>
              <w:spacing w:after="0"/>
              <w:rPr>
                <w:sz w:val="20"/>
                <w:szCs w:val="20"/>
                <w:color w:val="auto"/>
              </w:rPr>
            </w:pPr>
            <w:r>
              <w:rPr>
                <w:rFonts w:ascii="Arial" w:cs="Arial" w:eastAsia="Arial" w:hAnsi="Arial"/>
                <w:sz w:val="14"/>
                <w:szCs w:val="14"/>
                <w:b w:val="1"/>
                <w:bCs w:val="1"/>
                <w:color w:val="auto"/>
              </w:rPr>
              <w:t>Total</w:t>
            </w:r>
          </w:p>
        </w:tc>
        <w:tc>
          <w:tcPr>
            <w:tcW w:w="7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40" w:type="dxa"/>
            <w:vAlign w:val="bottom"/>
            <w:tcBorders>
              <w:top w:val="single" w:sz="8" w:color="auto"/>
            </w:tcBorders>
            <w:gridSpan w:val="2"/>
          </w:tcPr>
          <w:p>
            <w:pPr>
              <w:jc w:val="right"/>
              <w:ind w:right="440"/>
              <w:spacing w:after="0" w:line="155" w:lineRule="exact"/>
              <w:rPr>
                <w:sz w:val="20"/>
                <w:szCs w:val="20"/>
                <w:color w:val="auto"/>
              </w:rPr>
            </w:pPr>
            <w:r>
              <w:rPr>
                <w:rFonts w:ascii="Arial" w:cs="Arial" w:eastAsia="Arial" w:hAnsi="Arial"/>
                <w:sz w:val="14"/>
                <w:szCs w:val="14"/>
                <w:b w:val="1"/>
                <w:bCs w:val="1"/>
                <w:color w:val="auto"/>
              </w:rPr>
              <w:t>Shares</w:t>
            </w:r>
          </w:p>
        </w:tc>
        <w:tc>
          <w:tcPr>
            <w:tcW w:w="82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240" w:type="dxa"/>
            <w:vAlign w:val="bottom"/>
          </w:tcPr>
          <w:p>
            <w:pPr>
              <w:spacing w:after="0"/>
              <w:rPr>
                <w:sz w:val="13"/>
                <w:szCs w:val="13"/>
                <w:color w:val="auto"/>
              </w:rPr>
            </w:pPr>
          </w:p>
        </w:tc>
        <w:tc>
          <w:tcPr>
            <w:tcW w:w="1060" w:type="dxa"/>
            <w:vAlign w:val="bottom"/>
            <w:tcBorders>
              <w:top w:val="single" w:sz="8" w:color="auto"/>
            </w:tcBorders>
            <w:gridSpan w:val="2"/>
          </w:tcPr>
          <w:p>
            <w:pPr>
              <w:jc w:val="right"/>
              <w:ind w:right="46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240" w:type="dxa"/>
            <w:vAlign w:val="bottom"/>
          </w:tcPr>
          <w:p>
            <w:pPr>
              <w:spacing w:after="0"/>
              <w:rPr>
                <w:sz w:val="13"/>
                <w:szCs w:val="13"/>
                <w:color w:val="auto"/>
              </w:rPr>
            </w:pPr>
          </w:p>
        </w:tc>
        <w:tc>
          <w:tcPr>
            <w:tcW w:w="980" w:type="dxa"/>
            <w:vAlign w:val="bottom"/>
            <w:tcBorders>
              <w:top w:val="single" w:sz="8" w:color="auto"/>
            </w:tcBorders>
            <w:gridSpan w:val="2"/>
          </w:tcPr>
          <w:p>
            <w:pPr>
              <w:jc w:val="right"/>
              <w:ind w:right="40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200" w:type="dxa"/>
            <w:vAlign w:val="bottom"/>
          </w:tcPr>
          <w:p>
            <w:pPr>
              <w:spacing w:after="0"/>
              <w:rPr>
                <w:sz w:val="13"/>
                <w:szCs w:val="13"/>
                <w:color w:val="auto"/>
              </w:rPr>
            </w:pPr>
          </w:p>
        </w:tc>
        <w:tc>
          <w:tcPr>
            <w:tcW w:w="1100" w:type="dxa"/>
            <w:vAlign w:val="bottom"/>
            <w:tcBorders>
              <w:top w:val="single" w:sz="8" w:color="auto"/>
            </w:tcBorders>
            <w:gridSpan w:val="3"/>
          </w:tcPr>
          <w:p>
            <w:pPr>
              <w:ind w:left="200"/>
              <w:spacing w:after="0" w:line="155" w:lineRule="exact"/>
              <w:rPr>
                <w:sz w:val="20"/>
                <w:szCs w:val="20"/>
                <w:color w:val="auto"/>
              </w:rPr>
            </w:pPr>
            <w:r>
              <w:rPr>
                <w:rFonts w:ascii="Arial" w:cs="Arial" w:eastAsia="Arial" w:hAnsi="Arial"/>
                <w:sz w:val="14"/>
                <w:szCs w:val="14"/>
                <w:b w:val="1"/>
                <w:bCs w:val="1"/>
                <w:color w:val="auto"/>
              </w:rPr>
              <w:t>Shares</w:t>
            </w:r>
          </w:p>
        </w:tc>
        <w:tc>
          <w:tcPr>
            <w:tcW w:w="7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10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Outstanding at January 1, 2016</w:t>
            </w: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318,140</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10,708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589,174</w:t>
            </w: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16,242</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2,103,620</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46,447</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3,010,934</w:t>
            </w: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73,397</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(68,409)</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(1,510)</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(68,409)</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(1,510)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(65,358)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(1,443)</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(65,358)</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(1,443)</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b w:val="1"/>
                <w:bCs w:val="1"/>
                <w:color w:val="auto"/>
              </w:rPr>
              <w:t>Outstanding at September 30, 2016</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bottom w:val="single" w:sz="8" w:color="CCEEFF"/>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589,174</w:t>
            </w:r>
          </w:p>
        </w:tc>
        <w:tc>
          <w:tcPr>
            <w:tcW w:w="26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16,242</w:t>
            </w:r>
          </w:p>
        </w:tc>
        <w:tc>
          <w:tcPr>
            <w:tcW w:w="24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1,912,853</w:t>
            </w:r>
          </w:p>
        </w:tc>
        <w:tc>
          <w:tcPr>
            <w:tcW w:w="20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42,235</w:t>
            </w:r>
          </w:p>
        </w:tc>
        <w:tc>
          <w:tcPr>
            <w:tcW w:w="20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2,820,167</w:t>
            </w:r>
          </w:p>
        </w:tc>
        <w:tc>
          <w:tcPr>
            <w:tcW w:w="20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69,185</w:t>
            </w:r>
          </w:p>
        </w:tc>
        <w:tc>
          <w:tcPr>
            <w:tcW w:w="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b w:val="1"/>
                <w:bCs w:val="1"/>
                <w:color w:val="auto"/>
              </w:rPr>
              <w:t>Outstanding at January 1, 2017</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589,174</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16,242</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1,912,477</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42,226</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2,819,791</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69,176</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1,000</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1,000</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(77,995)</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(1,721)</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(77,995)</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(1,721)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(70,519)</w:t>
            </w:r>
          </w:p>
        </w:tc>
        <w:tc>
          <w:tcPr>
            <w:tcW w:w="1000" w:type="dxa"/>
            <w:vAlign w:val="bottom"/>
            <w:gridSpan w:val="2"/>
          </w:tcPr>
          <w:p>
            <w:pPr>
              <w:jc w:val="right"/>
              <w:ind w:right="160"/>
              <w:spacing w:after="0"/>
              <w:rPr>
                <w:sz w:val="20"/>
                <w:szCs w:val="20"/>
                <w:color w:val="auto"/>
              </w:rPr>
            </w:pPr>
            <w:r>
              <w:rPr>
                <w:rFonts w:ascii="Arial" w:cs="Arial" w:eastAsia="Arial" w:hAnsi="Arial"/>
                <w:sz w:val="14"/>
                <w:szCs w:val="14"/>
                <w:color w:val="auto"/>
              </w:rPr>
              <w:t>(1,557)</w:t>
            </w:r>
          </w:p>
        </w:tc>
        <w:tc>
          <w:tcPr>
            <w:tcW w:w="1000" w:type="dxa"/>
            <w:vAlign w:val="bottom"/>
            <w:gridSpan w:val="2"/>
          </w:tcPr>
          <w:p>
            <w:pPr>
              <w:jc w:val="right"/>
              <w:ind w:right="160"/>
              <w:spacing w:after="0"/>
              <w:rPr>
                <w:sz w:val="20"/>
                <w:szCs w:val="20"/>
                <w:color w:val="auto"/>
              </w:rPr>
            </w:pPr>
            <w:r>
              <w:rPr>
                <w:rFonts w:ascii="Arial" w:cs="Arial" w:eastAsia="Arial" w:hAnsi="Arial"/>
                <w:sz w:val="14"/>
                <w:szCs w:val="14"/>
                <w:color w:val="auto"/>
              </w:rPr>
              <w:t>(70,519)</w:t>
            </w:r>
          </w:p>
        </w:tc>
        <w:tc>
          <w:tcPr>
            <w:tcW w:w="100" w:type="dxa"/>
            <w:vAlign w:val="bottom"/>
          </w:tcPr>
          <w:p>
            <w:pPr>
              <w:spacing w:after="0"/>
              <w:rPr>
                <w:sz w:val="14"/>
                <w:szCs w:val="14"/>
                <w:color w:val="auto"/>
              </w:rPr>
            </w:pPr>
          </w:p>
        </w:tc>
        <w:tc>
          <w:tcPr>
            <w:tcW w:w="800" w:type="dxa"/>
            <w:vAlign w:val="bottom"/>
            <w:gridSpan w:val="3"/>
          </w:tcPr>
          <w:p>
            <w:pPr>
              <w:jc w:val="right"/>
              <w:ind w:right="60"/>
              <w:spacing w:after="0"/>
              <w:rPr>
                <w:sz w:val="20"/>
                <w:szCs w:val="20"/>
                <w:color w:val="auto"/>
              </w:rPr>
            </w:pPr>
            <w:r>
              <w:rPr>
                <w:rFonts w:ascii="Arial" w:cs="Arial" w:eastAsia="Arial" w:hAnsi="Arial"/>
                <w:sz w:val="14"/>
                <w:szCs w:val="14"/>
                <w:color w:val="auto"/>
              </w:rPr>
              <w:t>(1,557)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Outstanding at September 30, 2017</w:t>
            </w: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590,174</w:t>
            </w: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16,270</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1,709,963</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37,689</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2,615,277</w:t>
            </w: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64,667</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Outstanding at January 1, 2018</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590,174</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16,270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1,642,690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36,270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2,551,004</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63,248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99,193</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2,441</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64</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99,257</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2,442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(102,918)</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(2,272)</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(102,918)</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(2,272)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(49,055)</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(1,083)</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(49,055)</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(1,083)</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Pr>
          <w:p>
            <w:pPr>
              <w:spacing w:after="0" w:line="142" w:lineRule="exact"/>
              <w:rPr>
                <w:sz w:val="20"/>
                <w:szCs w:val="20"/>
                <w:color w:val="auto"/>
              </w:rPr>
            </w:pPr>
            <w:r>
              <w:rPr>
                <w:rFonts w:ascii="Arial" w:cs="Arial" w:eastAsia="Arial" w:hAnsi="Arial"/>
                <w:sz w:val="14"/>
                <w:szCs w:val="14"/>
                <w:b w:val="1"/>
                <w:bCs w:val="1"/>
                <w:color w:val="auto"/>
              </w:rPr>
              <w:t>Outstanding at September 30, 2018</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689,367</w:t>
            </w:r>
          </w:p>
        </w:tc>
        <w:tc>
          <w:tcPr>
            <w:tcW w:w="26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18,711</w:t>
            </w:r>
          </w:p>
        </w:tc>
        <w:tc>
          <w:tcPr>
            <w:tcW w:w="24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1,433,781</w:t>
            </w:r>
          </w:p>
        </w:tc>
        <w:tc>
          <w:tcPr>
            <w:tcW w:w="20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31,657</w:t>
            </w:r>
          </w:p>
        </w:tc>
        <w:tc>
          <w:tcPr>
            <w:tcW w:w="20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2,441,288</w:t>
            </w:r>
          </w:p>
        </w:tc>
        <w:tc>
          <w:tcPr>
            <w:tcW w:w="20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61,076</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accumulated other comprehensive income (loss) related to financial instruments at FVOCI, derivative financial instruments, and foreign currency translation is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0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Foreign</w:t>
            </w: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60" w:type="dxa"/>
            <w:vAlign w:val="bottom"/>
          </w:tcPr>
          <w:p>
            <w:pPr>
              <w:spacing w:after="0"/>
              <w:rPr>
                <w:sz w:val="18"/>
                <w:szCs w:val="18"/>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2"/>
              </w:rPr>
              <w:t>Financial</w:t>
            </w:r>
          </w:p>
        </w:tc>
        <w:tc>
          <w:tcPr>
            <w:tcW w:w="13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3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currency</w:t>
            </w: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60" w:type="dxa"/>
            <w:vAlign w:val="bottom"/>
          </w:tcPr>
          <w:p>
            <w:pPr>
              <w:spacing w:after="0"/>
              <w:rPr>
                <w:sz w:val="18"/>
                <w:szCs w:val="18"/>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instruments</w:t>
            </w:r>
          </w:p>
        </w:tc>
        <w:tc>
          <w:tcPr>
            <w:tcW w:w="13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3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translation</w:t>
            </w: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060" w:type="dxa"/>
            <w:vAlign w:val="bottom"/>
          </w:tcPr>
          <w:p>
            <w:pPr>
              <w:spacing w:after="0"/>
              <w:rPr>
                <w:sz w:val="20"/>
                <w:szCs w:val="20"/>
                <w:color w:val="auto"/>
              </w:rPr>
            </w:pPr>
          </w:p>
        </w:tc>
        <w:tc>
          <w:tcPr>
            <w:tcW w:w="14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rPr>
              <w:t>at FVOCI</w:t>
            </w:r>
          </w:p>
        </w:tc>
        <w:tc>
          <w:tcPr>
            <w:tcW w:w="13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3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adjustment</w:t>
            </w:r>
          </w:p>
        </w:tc>
        <w:tc>
          <w:tcPr>
            <w:tcW w:w="12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2016</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(8,931</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(1,750</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(10,681</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w w:val="94"/>
              </w:rPr>
              <w:t>Change in fair value for revaluation by debt instrument to FVOCI, net of hedging</w:t>
            </w:r>
          </w:p>
        </w:tc>
        <w:tc>
          <w:tcPr>
            <w:tcW w:w="1160" w:type="dxa"/>
            <w:vAlign w:val="bottom"/>
          </w:tcPr>
          <w:p>
            <w:pPr>
              <w:jc w:val="right"/>
              <w:spacing w:after="0"/>
              <w:rPr>
                <w:sz w:val="20"/>
                <w:szCs w:val="20"/>
                <w:color w:val="auto"/>
              </w:rPr>
            </w:pPr>
            <w:r>
              <w:rPr>
                <w:rFonts w:ascii="Arial" w:cs="Arial" w:eastAsia="Arial" w:hAnsi="Arial"/>
                <w:sz w:val="18"/>
                <w:szCs w:val="18"/>
                <w:color w:val="auto"/>
              </w:rPr>
              <w:t>6,933</w:t>
            </w:r>
          </w:p>
        </w:tc>
        <w:tc>
          <w:tcPr>
            <w:tcW w:w="24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2,137</w:t>
            </w:r>
          </w:p>
        </w:tc>
        <w:tc>
          <w:tcPr>
            <w:tcW w:w="2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9,070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06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Reclassification adjustment for (gains) loss included in the loss or profit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1,317</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(4,090)</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(2,773)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8,250</w:t>
            </w:r>
          </w:p>
        </w:tc>
        <w:tc>
          <w:tcPr>
            <w:tcW w:w="24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(1,953</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6,297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0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2016</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(681</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(3,703</w:t>
            </w:r>
          </w:p>
        </w:tc>
        <w:tc>
          <w:tcPr>
            <w:tcW w:w="200" w:type="dxa"/>
            <w:vAlign w:val="bottom"/>
            <w:tcBorders>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(4,384</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06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2017</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(853)</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(1,948)</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(2,801)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w w:val="94"/>
              </w:rPr>
              <w:t>Change in fair value for revaluation by debt instrument to FVOCI, net of hedging</w:t>
            </w: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330</w:t>
            </w:r>
          </w:p>
        </w:tc>
        <w:tc>
          <w:tcPr>
            <w:tcW w:w="240" w:type="dxa"/>
            <w:vAlign w:val="bottom"/>
          </w:tcPr>
          <w:p>
            <w:pPr>
              <w:spacing w:after="0"/>
              <w:rPr>
                <w:sz w:val="18"/>
                <w:szCs w:val="18"/>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(207)</w:t>
            </w:r>
          </w:p>
        </w:tc>
        <w:tc>
          <w:tcPr>
            <w:tcW w:w="200" w:type="dxa"/>
            <w:vAlign w:val="bottom"/>
          </w:tcPr>
          <w:p>
            <w:pPr>
              <w:spacing w:after="0"/>
              <w:rPr>
                <w:sz w:val="18"/>
                <w:szCs w:val="18"/>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06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Reclassification adjustment for (gains) loss included in the loss or profit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172</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760</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505</w:t>
            </w:r>
          </w:p>
        </w:tc>
        <w:tc>
          <w:tcPr>
            <w:tcW w:w="24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553</w:t>
            </w:r>
          </w:p>
        </w:tc>
        <w:tc>
          <w:tcPr>
            <w:tcW w:w="20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0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2017</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(348</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(1,395</w:t>
            </w:r>
          </w:p>
        </w:tc>
        <w:tc>
          <w:tcPr>
            <w:tcW w:w="200" w:type="dxa"/>
            <w:vAlign w:val="bottom"/>
            <w:tcBorders>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(1,743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06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2018</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(385)</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858</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1,490</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1,963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w w:val="94"/>
              </w:rPr>
              <w:t>Change in fair value for revaluation by debt instrument to FVOCI, net of hedging</w:t>
            </w: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(688)</w:t>
            </w:r>
          </w:p>
        </w:tc>
        <w:tc>
          <w:tcPr>
            <w:tcW w:w="240" w:type="dxa"/>
            <w:vAlign w:val="bottom"/>
          </w:tcPr>
          <w:p>
            <w:pPr>
              <w:spacing w:after="0"/>
              <w:rPr>
                <w:sz w:val="18"/>
                <w:szCs w:val="18"/>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(1,533)</w:t>
            </w:r>
          </w:p>
        </w:tc>
        <w:tc>
          <w:tcPr>
            <w:tcW w:w="200" w:type="dxa"/>
            <w:vAlign w:val="bottom"/>
          </w:tcPr>
          <w:p>
            <w:pPr>
              <w:spacing w:after="0"/>
              <w:rPr>
                <w:sz w:val="18"/>
                <w:szCs w:val="18"/>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(2,221)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0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for revaluation by equity instrument to FVOCI, net of</w:t>
            </w: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hedging</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(2,816)</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1,163</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(1,653)</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060" w:type="dxa"/>
            <w:vAlign w:val="bottom"/>
          </w:tcPr>
          <w:p>
            <w:pPr>
              <w:spacing w:after="0" w:line="256" w:lineRule="exact"/>
              <w:rPr>
                <w:sz w:val="20"/>
                <w:szCs w:val="20"/>
                <w:color w:val="auto"/>
              </w:rPr>
            </w:pPr>
            <w:r>
              <w:rPr>
                <w:rFonts w:ascii="Arial" w:cs="Arial" w:eastAsia="Arial" w:hAnsi="Arial"/>
                <w:sz w:val="18"/>
                <w:szCs w:val="18"/>
                <w:color w:val="auto"/>
              </w:rPr>
              <w:t xml:space="preserve">Reclassification adjustment for (gains) loss included in the loss or profit </w:t>
            </w:r>
            <w:r>
              <w:rPr>
                <w:rFonts w:ascii="Arial" w:cs="Arial" w:eastAsia="Arial" w:hAnsi="Arial"/>
                <w:sz w:val="29"/>
                <w:szCs w:val="29"/>
                <w:color w:val="auto"/>
                <w:vertAlign w:val="superscript"/>
              </w:rPr>
              <w:t>(1)</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(37)</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4,730</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4,693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Exchange difference in conversion of foreign operating currency</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(1,208)</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(3,541</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4,360</w:t>
            </w:r>
          </w:p>
        </w:tc>
        <w:tc>
          <w:tcPr>
            <w:tcW w:w="20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(1,208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(389</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0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2018</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(3,926</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5,218</w:t>
            </w:r>
          </w:p>
        </w:tc>
        <w:tc>
          <w:tcPr>
            <w:tcW w:w="20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282</w:t>
            </w:r>
          </w:p>
        </w:tc>
        <w:tc>
          <w:tcPr>
            <w:tcW w:w="22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194" w:lineRule="auto"/>
        <w:tabs>
          <w:tab w:leader="none" w:pos="660" w:val="left"/>
        </w:tabs>
        <w:numPr>
          <w:ilvl w:val="0"/>
          <w:numId w:val="69"/>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profit of the year that had been part of other comprehensive income (loss) in this and previous periods.</w:t>
      </w: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8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060" w:type="dxa"/>
            <w:vAlign w:val="bottom"/>
            <w:tcBorders>
              <w:top w:val="single" w:sz="8" w:color="auto"/>
            </w:tcBorders>
            <w:gridSpan w:val="3"/>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43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9"/>
              </w:rPr>
              <w:t>Details about accumulated other</w:t>
            </w:r>
          </w:p>
        </w:tc>
        <w:tc>
          <w:tcPr>
            <w:tcW w:w="680" w:type="dxa"/>
            <w:vAlign w:val="bottom"/>
          </w:tcPr>
          <w:p>
            <w:pPr>
              <w:spacing w:after="0"/>
              <w:rPr>
                <w:sz w:val="18"/>
                <w:szCs w:val="18"/>
                <w:color w:val="auto"/>
              </w:rPr>
            </w:pPr>
          </w:p>
        </w:tc>
        <w:tc>
          <w:tcPr>
            <w:tcW w:w="21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from accumulated other</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6"/>
              </w:rPr>
              <w:t>comprehensive income components</w:t>
            </w: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6"/>
              </w:rPr>
              <w:t>comprehensive 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at FVOCI:</w:t>
            </w:r>
          </w:p>
        </w:tc>
        <w:tc>
          <w:tcPr>
            <w:tcW w:w="6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6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6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6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CCEEFF"/>
            </w:tcBorders>
          </w:tcPr>
          <w:p>
            <w:pPr>
              <w:spacing w:after="0"/>
              <w:rPr>
                <w:sz w:val="22"/>
                <w:szCs w:val="22"/>
                <w:color w:val="auto"/>
              </w:rPr>
            </w:pPr>
          </w:p>
        </w:tc>
        <w:tc>
          <w:tcPr>
            <w:tcW w:w="200" w:type="dxa"/>
            <w:vAlign w:val="bottom"/>
            <w:tcBorders>
              <w:bottom w:val="single" w:sz="8" w:color="CCEEFF"/>
            </w:tcBorders>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(786)</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742</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(1,957)</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3</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(1,998</w:t>
            </w:r>
          </w:p>
        </w:tc>
        <w:tc>
          <w:tcPr>
            <w:tcW w:w="220" w:type="dxa"/>
            <w:vAlign w:val="bottom"/>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450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7160" w:type="dxa"/>
            <w:vAlign w:val="bottom"/>
            <w:tcBorders>
              <w:bottom w:val="single" w:sz="8" w:color="auto"/>
            </w:tcBorders>
            <w:gridSpan w:val="6"/>
          </w:tcPr>
          <w:p>
            <w:pPr>
              <w:ind w:left="180"/>
              <w:spacing w:after="0"/>
              <w:rPr>
                <w:sz w:val="20"/>
                <w:szCs w:val="20"/>
                <w:color w:val="auto"/>
              </w:rPr>
            </w:pPr>
            <w:r>
              <w:rPr>
                <w:rFonts w:ascii="Arial" w:cs="Arial" w:eastAsia="Arial" w:hAnsi="Arial"/>
                <w:sz w:val="18"/>
                <w:szCs w:val="18"/>
                <w:b w:val="1"/>
                <w:bCs w:val="1"/>
                <w:color w:val="auto"/>
              </w:rPr>
              <w:t>Nine months ended September 30, 2018</w:t>
            </w: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60" w:type="dxa"/>
            <w:vAlign w:val="bottom"/>
            <w:gridSpan w:val="3"/>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43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9"/>
              </w:rPr>
              <w:t>Details about accumulated other</w:t>
            </w:r>
          </w:p>
        </w:tc>
        <w:tc>
          <w:tcPr>
            <w:tcW w:w="680" w:type="dxa"/>
            <w:vAlign w:val="bottom"/>
          </w:tcPr>
          <w:p>
            <w:pPr>
              <w:spacing w:after="0"/>
              <w:rPr>
                <w:sz w:val="18"/>
                <w:szCs w:val="18"/>
                <w:color w:val="auto"/>
              </w:rPr>
            </w:pPr>
          </w:p>
        </w:tc>
        <w:tc>
          <w:tcPr>
            <w:tcW w:w="21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from accumulated other</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6"/>
              </w:rPr>
              <w:t>comprehensive income components</w:t>
            </w: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6"/>
              </w:rPr>
              <w:t>comprehensive 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at FVOCI:</w:t>
            </w:r>
          </w:p>
        </w:tc>
        <w:tc>
          <w:tcPr>
            <w:tcW w:w="6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64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6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800" w:type="dxa"/>
            <w:vAlign w:val="bottom"/>
            <w:tcBorders>
              <w:bottom w:val="single" w:sz="8" w:color="CCEEFF"/>
            </w:tcBorders>
            <w:gridSpan w:val="2"/>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0" w:type="dxa"/>
            <w:vAlign w:val="bottom"/>
            <w:tcBorders>
              <w:bottom w:val="single" w:sz="8" w:color="CCEEFF"/>
            </w:tcBorders>
          </w:tcPr>
          <w:p>
            <w:pPr>
              <w:spacing w:after="0"/>
              <w:rPr>
                <w:sz w:val="22"/>
                <w:szCs w:val="22"/>
                <w:color w:val="auto"/>
              </w:rPr>
            </w:pPr>
          </w:p>
        </w:tc>
        <w:tc>
          <w:tcPr>
            <w:tcW w:w="200" w:type="dxa"/>
            <w:vAlign w:val="bottom"/>
            <w:tcBorders>
              <w:bottom w:val="single" w:sz="8" w:color="CCEEFF"/>
            </w:tcBorders>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(1,950)</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860" w:type="dxa"/>
            <w:vAlign w:val="bottom"/>
            <w:gridSpan w:val="5"/>
          </w:tcPr>
          <w:p>
            <w:pPr>
              <w:jc w:val="right"/>
              <w:ind w:right="160"/>
              <w:spacing w:after="0"/>
              <w:rPr>
                <w:sz w:val="20"/>
                <w:szCs w:val="20"/>
                <w:color w:val="auto"/>
              </w:rPr>
            </w:pPr>
            <w:r>
              <w:rPr>
                <w:rFonts w:ascii="Arial" w:cs="Arial" w:eastAsia="Arial" w:hAnsi="Arial"/>
                <w:sz w:val="18"/>
                <w:szCs w:val="18"/>
                <w:color w:val="auto"/>
              </w:rPr>
              <w:t>(1,485)</w:t>
            </w:r>
          </w:p>
        </w:tc>
        <w:tc>
          <w:tcPr>
            <w:tcW w:w="430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(1,290)</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860" w:type="dxa"/>
            <w:vAlign w:val="bottom"/>
            <w:gridSpan w:val="5"/>
          </w:tcPr>
          <w:p>
            <w:pPr>
              <w:jc w:val="right"/>
              <w:ind w:right="160"/>
              <w:spacing w:after="0"/>
              <w:rPr>
                <w:sz w:val="20"/>
                <w:szCs w:val="20"/>
                <w:color w:val="auto"/>
              </w:rPr>
            </w:pPr>
            <w:r>
              <w:rPr>
                <w:rFonts w:ascii="Arial" w:cs="Arial" w:eastAsia="Arial" w:hAnsi="Arial"/>
                <w:sz w:val="18"/>
                <w:szCs w:val="18"/>
                <w:color w:val="auto"/>
              </w:rPr>
              <w:t>(5)</w:t>
            </w:r>
          </w:p>
        </w:tc>
        <w:tc>
          <w:tcPr>
            <w:tcW w:w="430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800" w:type="dxa"/>
            <w:vAlign w:val="bottom"/>
            <w:gridSpan w:val="2"/>
          </w:tcPr>
          <w:p>
            <w:pPr>
              <w:spacing w:after="0"/>
              <w:rPr>
                <w:sz w:val="19"/>
                <w:szCs w:val="19"/>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(4,730</w:t>
            </w:r>
          </w:p>
        </w:tc>
        <w:tc>
          <w:tcPr>
            <w:tcW w:w="220" w:type="dxa"/>
            <w:vAlign w:val="bottom"/>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800" w:type="dxa"/>
            <w:vAlign w:val="bottom"/>
            <w:gridSpan w:val="2"/>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gridSpan w:val="3"/>
          </w:tcPr>
          <w:p>
            <w:pPr>
              <w:jc w:val="right"/>
              <w:ind w:right="870"/>
              <w:spacing w:after="0"/>
              <w:rPr>
                <w:sz w:val="20"/>
                <w:szCs w:val="20"/>
                <w:color w:val="auto"/>
              </w:rPr>
            </w:pPr>
            <w:r>
              <w:rPr>
                <w:rFonts w:ascii="Arial" w:cs="Arial" w:eastAsia="Arial" w:hAnsi="Arial"/>
                <w:sz w:val="18"/>
                <w:szCs w:val="18"/>
                <w:color w:val="auto"/>
              </w:rPr>
              <w:t>56</w:t>
            </w: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Accumulated other comprehensive income (loss) (continued)</w:t>
      </w:r>
    </w:p>
    <w:p>
      <w:pPr>
        <w:spacing w:after="0" w:line="22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September 30,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82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960" w:type="dxa"/>
            <w:vAlign w:val="bottom"/>
            <w:tcBorders>
              <w:top w:val="single" w:sz="8" w:color="auto"/>
            </w:tcBorders>
            <w:gridSpan w:val="6"/>
          </w:tcPr>
          <w:p>
            <w:pPr>
              <w:jc w:val="center"/>
              <w:ind w:right="25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43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20" w:type="dxa"/>
            <w:vAlign w:val="bottom"/>
          </w:tcPr>
          <w:p>
            <w:pPr>
              <w:ind w:left="980"/>
              <w:spacing w:after="0"/>
              <w:rPr>
                <w:sz w:val="20"/>
                <w:szCs w:val="20"/>
                <w:color w:val="auto"/>
              </w:rPr>
            </w:pPr>
            <w:r>
              <w:rPr>
                <w:rFonts w:ascii="Arial" w:cs="Arial" w:eastAsia="Arial" w:hAnsi="Arial"/>
                <w:sz w:val="18"/>
                <w:szCs w:val="18"/>
                <w:b w:val="1"/>
                <w:bCs w:val="1"/>
                <w:color w:val="auto"/>
              </w:rPr>
              <w:t>Details about accumulated other</w:t>
            </w:r>
          </w:p>
        </w:tc>
        <w:tc>
          <w:tcPr>
            <w:tcW w:w="640" w:type="dxa"/>
            <w:vAlign w:val="bottom"/>
          </w:tcPr>
          <w:p>
            <w:pPr>
              <w:spacing w:after="0"/>
              <w:rPr>
                <w:sz w:val="18"/>
                <w:szCs w:val="18"/>
                <w:color w:val="auto"/>
              </w:rPr>
            </w:pPr>
          </w:p>
        </w:tc>
        <w:tc>
          <w:tcPr>
            <w:tcW w:w="2180" w:type="dxa"/>
            <w:vAlign w:val="bottom"/>
            <w:gridSpan w:val="8"/>
          </w:tcPr>
          <w:p>
            <w:pPr>
              <w:jc w:val="center"/>
              <w:ind w:right="10"/>
              <w:spacing w:after="0"/>
              <w:rPr>
                <w:sz w:val="20"/>
                <w:szCs w:val="20"/>
                <w:color w:val="auto"/>
              </w:rPr>
            </w:pPr>
            <w:r>
              <w:rPr>
                <w:rFonts w:ascii="Arial" w:cs="Arial" w:eastAsia="Arial" w:hAnsi="Arial"/>
                <w:sz w:val="18"/>
                <w:szCs w:val="18"/>
                <w:b w:val="1"/>
                <w:bCs w:val="1"/>
                <w:color w:val="auto"/>
                <w:w w:val="89"/>
              </w:rPr>
              <w:t>from accumulated other</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20" w:type="dxa"/>
            <w:vAlign w:val="bottom"/>
          </w:tcPr>
          <w:p>
            <w:pPr>
              <w:jc w:val="right"/>
              <w:ind w:right="150"/>
              <w:spacing w:after="0"/>
              <w:rPr>
                <w:sz w:val="20"/>
                <w:szCs w:val="20"/>
                <w:color w:val="auto"/>
              </w:rPr>
            </w:pPr>
            <w:r>
              <w:rPr>
                <w:rFonts w:ascii="Arial" w:cs="Arial" w:eastAsia="Arial" w:hAnsi="Arial"/>
                <w:sz w:val="18"/>
                <w:szCs w:val="18"/>
                <w:b w:val="1"/>
                <w:bCs w:val="1"/>
                <w:color w:val="auto"/>
              </w:rPr>
              <w:t>comprehensive income components</w:t>
            </w: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7"/>
          </w:tcPr>
          <w:p>
            <w:pPr>
              <w:jc w:val="center"/>
              <w:ind w:right="150"/>
              <w:spacing w:after="0"/>
              <w:rPr>
                <w:sz w:val="20"/>
                <w:szCs w:val="20"/>
                <w:color w:val="auto"/>
              </w:rPr>
            </w:pPr>
            <w:r>
              <w:rPr>
                <w:rFonts w:ascii="Arial" w:cs="Arial" w:eastAsia="Arial" w:hAnsi="Arial"/>
                <w:sz w:val="18"/>
                <w:szCs w:val="18"/>
                <w:b w:val="1"/>
                <w:bCs w:val="1"/>
                <w:color w:val="auto"/>
                <w:w w:val="86"/>
              </w:rPr>
              <w:t>comprehensive 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6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gridSpan w:val="2"/>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jc w:val="center"/>
              <w:ind w:right="1470"/>
              <w:spacing w:after="0"/>
              <w:rPr>
                <w:sz w:val="20"/>
                <w:szCs w:val="20"/>
                <w:color w:val="auto"/>
              </w:rPr>
            </w:pPr>
            <w:r>
              <w:rPr>
                <w:rFonts w:ascii="Arial" w:cs="Arial" w:eastAsia="Arial" w:hAnsi="Arial"/>
                <w:sz w:val="18"/>
                <w:szCs w:val="18"/>
                <w:color w:val="auto"/>
                <w:w w:val="91"/>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160" w:type="dxa"/>
            <w:vAlign w:val="bottom"/>
            <w:gridSpan w:val="6"/>
          </w:tcPr>
          <w:p>
            <w:pPr>
              <w:ind w:left="1580"/>
              <w:spacing w:after="0"/>
              <w:rPr>
                <w:sz w:val="20"/>
                <w:szCs w:val="20"/>
                <w:color w:val="auto"/>
              </w:rPr>
            </w:pPr>
            <w:r>
              <w:rPr>
                <w:rFonts w:ascii="Arial" w:cs="Arial" w:eastAsia="Arial" w:hAnsi="Arial"/>
                <w:sz w:val="18"/>
                <w:szCs w:val="18"/>
                <w:color w:val="auto"/>
              </w:rPr>
              <w:t>-   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6160" w:type="dxa"/>
            <w:vAlign w:val="bottom"/>
            <w:gridSpan w:val="6"/>
            <w:shd w:val="clear" w:color="auto" w:fill="CCEEFF"/>
          </w:tcPr>
          <w:p>
            <w:pPr>
              <w:ind w:left="1500"/>
              <w:spacing w:after="0"/>
              <w:rPr>
                <w:sz w:val="20"/>
                <w:szCs w:val="20"/>
                <w:color w:val="auto"/>
              </w:rPr>
            </w:pPr>
            <w:r>
              <w:rPr>
                <w:rFonts w:ascii="Arial" w:cs="Arial" w:eastAsia="Arial" w:hAnsi="Arial"/>
                <w:sz w:val="18"/>
                <w:szCs w:val="18"/>
                <w:color w:val="auto"/>
              </w:rPr>
              <w:t>(3)  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820" w:type="dxa"/>
            <w:vAlign w:val="bottom"/>
            <w:tcBorders>
              <w:bottom w:val="single" w:sz="8" w:color="CCEEFF"/>
            </w:tcBorders>
          </w:tcPr>
          <w:p>
            <w:pPr>
              <w:spacing w:after="0"/>
              <w:rPr>
                <w:sz w:val="22"/>
                <w:szCs w:val="22"/>
                <w:color w:val="auto"/>
              </w:rPr>
            </w:pPr>
          </w:p>
        </w:tc>
        <w:tc>
          <w:tcPr>
            <w:tcW w:w="64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40" w:type="dxa"/>
            <w:vAlign w:val="bottom"/>
            <w:tcBorders>
              <w:top w:val="single" w:sz="8" w:color="auto"/>
              <w:bottom w:val="single" w:sz="8" w:color="auto"/>
            </w:tcBorders>
            <w:gridSpan w:val="4"/>
          </w:tcPr>
          <w:p>
            <w:pPr>
              <w:jc w:val="right"/>
              <w:spacing w:after="0"/>
              <w:rPr>
                <w:sz w:val="20"/>
                <w:szCs w:val="20"/>
                <w:color w:val="auto"/>
              </w:rPr>
            </w:pPr>
            <w:r>
              <w:rPr>
                <w:rFonts w:ascii="Arial" w:cs="Arial" w:eastAsia="Arial" w:hAnsi="Arial"/>
                <w:sz w:val="18"/>
                <w:szCs w:val="18"/>
                <w:b w:val="1"/>
                <w:bCs w:val="1"/>
                <w:color w:val="auto"/>
              </w:rPr>
              <w:t>(3</w:t>
            </w:r>
          </w:p>
        </w:tc>
        <w:tc>
          <w:tcPr>
            <w:tcW w:w="18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40" w:type="dxa"/>
            <w:vAlign w:val="bottom"/>
            <w:tcBorders>
              <w:bottom w:val="single" w:sz="8" w:color="CCEEFF"/>
            </w:tcBorders>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w w:val="95"/>
              </w:rPr>
              <w:t>Gains (losses) on derivative financial instruments:</w:t>
            </w: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160" w:type="dxa"/>
            <w:vAlign w:val="bottom"/>
            <w:gridSpan w:val="6"/>
            <w:shd w:val="clear" w:color="auto" w:fill="CCEEFF"/>
          </w:tcPr>
          <w:p>
            <w:pPr>
              <w:ind w:left="1180"/>
              <w:spacing w:after="0"/>
              <w:rPr>
                <w:sz w:val="20"/>
                <w:szCs w:val="20"/>
                <w:color w:val="auto"/>
              </w:rPr>
            </w:pPr>
            <w:r>
              <w:rPr>
                <w:rFonts w:ascii="Arial" w:cs="Arial" w:eastAsia="Arial" w:hAnsi="Arial"/>
                <w:sz w:val="18"/>
                <w:szCs w:val="18"/>
                <w:color w:val="auto"/>
              </w:rPr>
              <w:t>(2,068)  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160" w:type="dxa"/>
            <w:vAlign w:val="bottom"/>
            <w:gridSpan w:val="6"/>
          </w:tcPr>
          <w:p>
            <w:pPr>
              <w:jc w:val="center"/>
              <w:ind w:left="170"/>
              <w:spacing w:after="0"/>
              <w:rPr>
                <w:sz w:val="20"/>
                <w:szCs w:val="20"/>
                <w:color w:val="auto"/>
              </w:rPr>
            </w:pPr>
            <w:r>
              <w:rPr>
                <w:rFonts w:ascii="Arial" w:cs="Arial" w:eastAsia="Arial" w:hAnsi="Arial"/>
                <w:sz w:val="18"/>
                <w:szCs w:val="18"/>
                <w:color w:val="auto"/>
                <w:w w:val="91"/>
              </w:rPr>
              <w:t>76   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160" w:type="dxa"/>
            <w:vAlign w:val="bottom"/>
            <w:gridSpan w:val="6"/>
            <w:shd w:val="clear" w:color="auto" w:fill="CCEEFF"/>
          </w:tcPr>
          <w:p>
            <w:pPr>
              <w:jc w:val="center"/>
              <w:ind w:left="170"/>
              <w:spacing w:after="0"/>
              <w:rPr>
                <w:sz w:val="20"/>
                <w:szCs w:val="20"/>
                <w:color w:val="auto"/>
              </w:rPr>
            </w:pPr>
            <w:r>
              <w:rPr>
                <w:rFonts w:ascii="Arial" w:cs="Arial" w:eastAsia="Arial" w:hAnsi="Arial"/>
                <w:sz w:val="18"/>
                <w:szCs w:val="18"/>
                <w:color w:val="auto"/>
                <w:w w:val="92"/>
              </w:rPr>
              <w:t>(332)  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Interest rate swaps</w:t>
            </w: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160" w:type="dxa"/>
            <w:vAlign w:val="bottom"/>
            <w:gridSpan w:val="6"/>
          </w:tcPr>
          <w:p>
            <w:pPr>
              <w:ind w:left="1320"/>
              <w:spacing w:after="0"/>
              <w:rPr>
                <w:sz w:val="20"/>
                <w:szCs w:val="20"/>
                <w:color w:val="auto"/>
              </w:rPr>
            </w:pPr>
            <w:r>
              <w:rPr>
                <w:rFonts w:ascii="Arial" w:cs="Arial" w:eastAsia="Arial" w:hAnsi="Arial"/>
                <w:sz w:val="18"/>
                <w:szCs w:val="18"/>
                <w:color w:val="auto"/>
              </w:rPr>
              <w:t>(122)  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6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6160" w:type="dxa"/>
            <w:vAlign w:val="bottom"/>
            <w:gridSpan w:val="6"/>
            <w:shd w:val="clear" w:color="auto" w:fill="CCEEFF"/>
          </w:tcPr>
          <w:p>
            <w:pPr>
              <w:ind w:left="1580"/>
              <w:spacing w:after="0"/>
              <w:rPr>
                <w:sz w:val="20"/>
                <w:szCs w:val="20"/>
                <w:color w:val="auto"/>
              </w:rPr>
            </w:pPr>
            <w:r>
              <w:rPr>
                <w:rFonts w:ascii="Arial" w:cs="Arial" w:eastAsia="Arial" w:hAnsi="Arial"/>
                <w:sz w:val="18"/>
                <w:szCs w:val="18"/>
                <w:color w:val="auto"/>
              </w:rPr>
              <w:t>-   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40" w:type="dxa"/>
            <w:vAlign w:val="bottom"/>
            <w:tcBorders>
              <w:top w:val="single" w:sz="8" w:color="auto"/>
            </w:tcBorders>
            <w:gridSpan w:val="4"/>
          </w:tcPr>
          <w:p>
            <w:pPr>
              <w:jc w:val="right"/>
              <w:spacing w:after="0"/>
              <w:rPr>
                <w:sz w:val="20"/>
                <w:szCs w:val="20"/>
                <w:color w:val="auto"/>
              </w:rPr>
            </w:pPr>
            <w:r>
              <w:rPr>
                <w:rFonts w:ascii="Arial" w:cs="Arial" w:eastAsia="Arial" w:hAnsi="Arial"/>
                <w:sz w:val="18"/>
                <w:szCs w:val="18"/>
                <w:b w:val="1"/>
                <w:bCs w:val="1"/>
                <w:color w:val="auto"/>
              </w:rPr>
              <w:t>(2,446</w:t>
            </w:r>
          </w:p>
        </w:tc>
        <w:tc>
          <w:tcPr>
            <w:tcW w:w="1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4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34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7120" w:type="dxa"/>
            <w:vAlign w:val="bottom"/>
            <w:tcBorders>
              <w:bottom w:val="single" w:sz="8" w:color="auto"/>
            </w:tcBorders>
            <w:gridSpan w:val="10"/>
          </w:tcPr>
          <w:p>
            <w:pPr>
              <w:ind w:left="140"/>
              <w:spacing w:after="0"/>
              <w:rPr>
                <w:sz w:val="20"/>
                <w:szCs w:val="20"/>
                <w:color w:val="auto"/>
              </w:rPr>
            </w:pPr>
            <w:r>
              <w:rPr>
                <w:rFonts w:ascii="Arial" w:cs="Arial" w:eastAsia="Arial" w:hAnsi="Arial"/>
                <w:sz w:val="18"/>
                <w:szCs w:val="18"/>
                <w:b w:val="1"/>
                <w:bCs w:val="1"/>
                <w:color w:val="auto"/>
              </w:rPr>
              <w:t>Nine months ended September 30, 2017</w:t>
            </w: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60" w:type="dxa"/>
            <w:vAlign w:val="bottom"/>
            <w:gridSpan w:val="5"/>
          </w:tcPr>
          <w:p>
            <w:pPr>
              <w:jc w:val="center"/>
              <w:ind w:right="17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43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5"/>
          </w:tcPr>
          <w:p>
            <w:pPr>
              <w:jc w:val="center"/>
              <w:ind w:right="170"/>
              <w:spacing w:after="0"/>
              <w:rPr>
                <w:sz w:val="20"/>
                <w:szCs w:val="20"/>
                <w:color w:val="auto"/>
              </w:rPr>
            </w:pPr>
            <w:r>
              <w:rPr>
                <w:rFonts w:ascii="Arial" w:cs="Arial" w:eastAsia="Arial" w:hAnsi="Arial"/>
                <w:sz w:val="18"/>
                <w:szCs w:val="18"/>
                <w:b w:val="1"/>
                <w:bCs w:val="1"/>
                <w:color w:val="auto"/>
                <w:w w:val="90"/>
              </w:rPr>
              <w:t>from accumulated</w:t>
            </w: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jc w:val="right"/>
              <w:ind w:right="150"/>
              <w:spacing w:after="0"/>
              <w:rPr>
                <w:sz w:val="20"/>
                <w:szCs w:val="20"/>
                <w:color w:val="auto"/>
              </w:rPr>
            </w:pPr>
            <w:r>
              <w:rPr>
                <w:rFonts w:ascii="Arial" w:cs="Arial" w:eastAsia="Arial" w:hAnsi="Arial"/>
                <w:sz w:val="18"/>
                <w:szCs w:val="18"/>
                <w:b w:val="1"/>
                <w:bCs w:val="1"/>
                <w:color w:val="auto"/>
              </w:rPr>
              <w:t>Details about accumulated other</w:t>
            </w: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5"/>
          </w:tcPr>
          <w:p>
            <w:pPr>
              <w:jc w:val="center"/>
              <w:ind w:right="170"/>
              <w:spacing w:after="0"/>
              <w:rPr>
                <w:sz w:val="20"/>
                <w:szCs w:val="20"/>
                <w:color w:val="auto"/>
              </w:rPr>
            </w:pPr>
            <w:r>
              <w:rPr>
                <w:rFonts w:ascii="Arial" w:cs="Arial" w:eastAsia="Arial" w:hAnsi="Arial"/>
                <w:sz w:val="18"/>
                <w:szCs w:val="18"/>
                <w:b w:val="1"/>
                <w:bCs w:val="1"/>
                <w:color w:val="auto"/>
                <w:w w:val="87"/>
              </w:rPr>
              <w:t>other comprehensive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20" w:type="dxa"/>
            <w:vAlign w:val="bottom"/>
          </w:tcPr>
          <w:p>
            <w:pPr>
              <w:ind w:left="980"/>
              <w:spacing w:after="0"/>
              <w:rPr>
                <w:sz w:val="20"/>
                <w:szCs w:val="20"/>
                <w:color w:val="auto"/>
              </w:rPr>
            </w:pPr>
            <w:r>
              <w:rPr>
                <w:rFonts w:ascii="Arial" w:cs="Arial" w:eastAsia="Arial" w:hAnsi="Arial"/>
                <w:sz w:val="18"/>
                <w:szCs w:val="18"/>
                <w:b w:val="1"/>
                <w:bCs w:val="1"/>
                <w:color w:val="auto"/>
                <w:w w:val="90"/>
              </w:rPr>
              <w:t>comprehensive income components</w:t>
            </w: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60" w:type="dxa"/>
            <w:vAlign w:val="bottom"/>
            <w:gridSpan w:val="5"/>
          </w:tcPr>
          <w:p>
            <w:pPr>
              <w:jc w:val="center"/>
              <w:ind w:right="170"/>
              <w:spacing w:after="0"/>
              <w:rPr>
                <w:sz w:val="20"/>
                <w:szCs w:val="20"/>
                <w:color w:val="auto"/>
              </w:rPr>
            </w:pPr>
            <w:r>
              <w:rPr>
                <w:rFonts w:ascii="Arial" w:cs="Arial" w:eastAsia="Arial" w:hAnsi="Arial"/>
                <w:sz w:val="18"/>
                <w:szCs w:val="18"/>
                <w:b w:val="1"/>
                <w:bCs w:val="1"/>
                <w:color w:val="auto"/>
                <w:w w:val="88"/>
              </w:rPr>
              <w:t>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6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gridSpan w:val="3"/>
            <w:shd w:val="clear" w:color="auto" w:fill="CCEEFF"/>
          </w:tcPr>
          <w:p>
            <w:pPr>
              <w:spacing w:after="0"/>
              <w:rPr>
                <w:sz w:val="18"/>
                <w:szCs w:val="18"/>
                <w:color w:val="auto"/>
              </w:rPr>
            </w:pPr>
          </w:p>
        </w:tc>
        <w:tc>
          <w:tcPr>
            <w:tcW w:w="434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160" w:type="dxa"/>
            <w:vAlign w:val="bottom"/>
            <w:gridSpan w:val="6"/>
          </w:tcPr>
          <w:p>
            <w:pPr>
              <w:ind w:left="1280"/>
              <w:spacing w:after="0"/>
              <w:rPr>
                <w:sz w:val="20"/>
                <w:szCs w:val="20"/>
                <w:color w:val="auto"/>
              </w:rPr>
            </w:pPr>
            <w:r>
              <w:rPr>
                <w:rFonts w:ascii="Arial" w:cs="Arial" w:eastAsia="Arial" w:hAnsi="Arial"/>
                <w:sz w:val="18"/>
                <w:szCs w:val="18"/>
                <w:color w:val="auto"/>
              </w:rPr>
              <w:t>(144)  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6160" w:type="dxa"/>
            <w:vAlign w:val="bottom"/>
            <w:gridSpan w:val="6"/>
            <w:shd w:val="clear" w:color="auto" w:fill="CCEEFF"/>
          </w:tcPr>
          <w:p>
            <w:pPr>
              <w:jc w:val="center"/>
              <w:ind w:left="170"/>
              <w:spacing w:after="0"/>
              <w:rPr>
                <w:sz w:val="20"/>
                <w:szCs w:val="20"/>
                <w:color w:val="auto"/>
              </w:rPr>
            </w:pPr>
            <w:r>
              <w:rPr>
                <w:rFonts w:ascii="Arial" w:cs="Arial" w:eastAsia="Arial" w:hAnsi="Arial"/>
                <w:sz w:val="18"/>
                <w:szCs w:val="18"/>
                <w:color w:val="auto"/>
                <w:w w:val="93"/>
              </w:rPr>
              <w:t>(31)  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820" w:type="dxa"/>
            <w:vAlign w:val="bottom"/>
            <w:tcBorders>
              <w:bottom w:val="single" w:sz="8" w:color="CCEEFF"/>
            </w:tcBorders>
          </w:tcPr>
          <w:p>
            <w:pPr>
              <w:spacing w:after="0"/>
              <w:rPr>
                <w:sz w:val="22"/>
                <w:szCs w:val="22"/>
                <w:color w:val="auto"/>
              </w:rPr>
            </w:pPr>
          </w:p>
        </w:tc>
        <w:tc>
          <w:tcPr>
            <w:tcW w:w="860" w:type="dxa"/>
            <w:vAlign w:val="bottom"/>
            <w:tcBorders>
              <w:bottom w:val="single" w:sz="8" w:color="CCEEFF"/>
            </w:tcBorders>
            <w:gridSpan w:val="3"/>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w:t>
            </w:r>
          </w:p>
        </w:tc>
        <w:tc>
          <w:tcPr>
            <w:tcW w:w="2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w:t>
            </w:r>
          </w:p>
        </w:tc>
        <w:tc>
          <w:tcPr>
            <w:tcW w:w="40" w:type="dxa"/>
            <w:vAlign w:val="bottom"/>
            <w:tcBorders>
              <w:bottom w:val="single" w:sz="8" w:color="CCEEFF"/>
            </w:tcBorders>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w w:val="95"/>
              </w:rPr>
              <w:t>Gains (losses) on derivative financial instruments:</w:t>
            </w: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160" w:type="dxa"/>
            <w:vAlign w:val="bottom"/>
            <w:gridSpan w:val="6"/>
            <w:shd w:val="clear" w:color="auto" w:fill="CCEEFF"/>
          </w:tcPr>
          <w:p>
            <w:pPr>
              <w:ind w:left="1140"/>
              <w:spacing w:after="0"/>
              <w:rPr>
                <w:sz w:val="20"/>
                <w:szCs w:val="20"/>
                <w:color w:val="auto"/>
              </w:rPr>
            </w:pPr>
            <w:r>
              <w:rPr>
                <w:rFonts w:ascii="Arial" w:cs="Arial" w:eastAsia="Arial" w:hAnsi="Arial"/>
                <w:sz w:val="18"/>
                <w:szCs w:val="18"/>
                <w:color w:val="auto"/>
              </w:rPr>
              <w:t>(6,097)  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160" w:type="dxa"/>
            <w:vAlign w:val="bottom"/>
            <w:gridSpan w:val="6"/>
          </w:tcPr>
          <w:p>
            <w:pPr>
              <w:ind w:left="1140"/>
              <w:spacing w:after="0"/>
              <w:rPr>
                <w:sz w:val="20"/>
                <w:szCs w:val="20"/>
                <w:color w:val="auto"/>
              </w:rPr>
            </w:pPr>
            <w:r>
              <w:rPr>
                <w:rFonts w:ascii="Arial" w:cs="Arial" w:eastAsia="Arial" w:hAnsi="Arial"/>
                <w:sz w:val="18"/>
                <w:szCs w:val="18"/>
                <w:color w:val="auto"/>
              </w:rPr>
              <w:t>(1,174)  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160" w:type="dxa"/>
            <w:vAlign w:val="bottom"/>
            <w:gridSpan w:val="6"/>
            <w:shd w:val="clear" w:color="auto" w:fill="CCEEFF"/>
          </w:tcPr>
          <w:p>
            <w:pPr>
              <w:ind w:left="1200"/>
              <w:spacing w:after="0"/>
              <w:rPr>
                <w:sz w:val="20"/>
                <w:szCs w:val="20"/>
                <w:color w:val="auto"/>
              </w:rPr>
            </w:pPr>
            <w:r>
              <w:rPr>
                <w:rFonts w:ascii="Arial" w:cs="Arial" w:eastAsia="Arial" w:hAnsi="Arial"/>
                <w:sz w:val="18"/>
                <w:szCs w:val="18"/>
                <w:color w:val="auto"/>
              </w:rPr>
              <w:t>6,414   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Interest rate swaps</w:t>
            </w: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160" w:type="dxa"/>
            <w:vAlign w:val="bottom"/>
            <w:gridSpan w:val="6"/>
          </w:tcPr>
          <w:p>
            <w:pPr>
              <w:ind w:left="1420"/>
              <w:spacing w:after="0"/>
              <w:rPr>
                <w:sz w:val="20"/>
                <w:szCs w:val="20"/>
                <w:color w:val="auto"/>
              </w:rPr>
            </w:pPr>
            <w:r>
              <w:rPr>
                <w:rFonts w:ascii="Arial" w:cs="Arial" w:eastAsia="Arial" w:hAnsi="Arial"/>
                <w:sz w:val="18"/>
                <w:szCs w:val="18"/>
                <w:color w:val="auto"/>
              </w:rPr>
              <w:t>92   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6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6160" w:type="dxa"/>
            <w:vAlign w:val="bottom"/>
            <w:gridSpan w:val="6"/>
            <w:shd w:val="clear" w:color="auto" w:fill="CCEEFF"/>
          </w:tcPr>
          <w:p>
            <w:pPr>
              <w:ind w:left="1520"/>
              <w:spacing w:after="0"/>
              <w:rPr>
                <w:sz w:val="20"/>
                <w:szCs w:val="20"/>
                <w:color w:val="auto"/>
              </w:rPr>
            </w:pPr>
            <w:r>
              <w:rPr>
                <w:rFonts w:ascii="Arial" w:cs="Arial" w:eastAsia="Arial" w:hAnsi="Arial"/>
                <w:sz w:val="18"/>
                <w:szCs w:val="18"/>
                <w:color w:val="auto"/>
              </w:rPr>
              <w:t>5   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860" w:type="dxa"/>
            <w:vAlign w:val="bottom"/>
            <w:gridSpan w:val="3"/>
          </w:tcPr>
          <w:p>
            <w:pPr>
              <w:spacing w:after="0"/>
              <w:rPr>
                <w:sz w:val="19"/>
                <w:szCs w:val="19"/>
                <w:color w:val="auto"/>
              </w:rPr>
            </w:pPr>
          </w:p>
        </w:tc>
        <w:tc>
          <w:tcPr>
            <w:tcW w:w="100" w:type="dxa"/>
            <w:vAlign w:val="bottom"/>
          </w:tcPr>
          <w:p>
            <w:pPr>
              <w:spacing w:after="0"/>
              <w:rPr>
                <w:sz w:val="19"/>
                <w:szCs w:val="19"/>
                <w:color w:val="auto"/>
              </w:rPr>
            </w:pPr>
          </w:p>
        </w:tc>
        <w:tc>
          <w:tcPr>
            <w:tcW w:w="1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(760</w:t>
            </w:r>
          </w:p>
        </w:tc>
        <w:tc>
          <w:tcPr>
            <w:tcW w:w="220" w:type="dxa"/>
            <w:vAlign w:val="bottom"/>
            <w:gridSpan w:val="3"/>
          </w:tcPr>
          <w:p>
            <w:pPr>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860" w:type="dxa"/>
            <w:vAlign w:val="bottom"/>
            <w:gridSpan w:val="3"/>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gridSpan w:val="5"/>
          </w:tcPr>
          <w:p>
            <w:pPr>
              <w:jc w:val="right"/>
              <w:ind w:right="830"/>
              <w:spacing w:after="0"/>
              <w:rPr>
                <w:sz w:val="20"/>
                <w:szCs w:val="20"/>
                <w:color w:val="auto"/>
              </w:rPr>
            </w:pPr>
            <w:r>
              <w:rPr>
                <w:rFonts w:ascii="Arial" w:cs="Arial" w:eastAsia="Arial" w:hAnsi="Arial"/>
                <w:sz w:val="18"/>
                <w:szCs w:val="18"/>
                <w:color w:val="auto"/>
              </w:rPr>
              <w:t>57</w:t>
            </w: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Accumulated other comprehensive income (loss) (continued)</w:t>
      </w:r>
    </w:p>
    <w:p>
      <w:pPr>
        <w:spacing w:after="0" w:line="22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8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060" w:type="dxa"/>
            <w:vAlign w:val="bottom"/>
            <w:tcBorders>
              <w:top w:val="single" w:sz="8" w:color="auto"/>
            </w:tcBorders>
            <w:gridSpan w:val="3"/>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43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9"/>
              </w:rPr>
              <w:t>Details about accumulated other</w:t>
            </w:r>
          </w:p>
        </w:tc>
        <w:tc>
          <w:tcPr>
            <w:tcW w:w="680" w:type="dxa"/>
            <w:vAlign w:val="bottom"/>
          </w:tcPr>
          <w:p>
            <w:pPr>
              <w:spacing w:after="0"/>
              <w:rPr>
                <w:sz w:val="18"/>
                <w:szCs w:val="18"/>
                <w:color w:val="auto"/>
              </w:rPr>
            </w:pPr>
          </w:p>
        </w:tc>
        <w:tc>
          <w:tcPr>
            <w:tcW w:w="21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from accumulated other</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6"/>
              </w:rPr>
              <w:t>comprehensive income components</w:t>
            </w: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6"/>
              </w:rPr>
              <w:t>comprehensive 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at FVOCI:</w:t>
            </w:r>
          </w:p>
        </w:tc>
        <w:tc>
          <w:tcPr>
            <w:tcW w:w="6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168</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6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185</w:t>
            </w: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6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353</w:t>
            </w:r>
          </w:p>
        </w:tc>
        <w:tc>
          <w:tcPr>
            <w:tcW w:w="20" w:type="dxa"/>
            <w:vAlign w:val="bottom"/>
            <w:tcBorders>
              <w:bottom w:val="single" w:sz="8" w:color="CCEEFF"/>
            </w:tcBorders>
          </w:tcPr>
          <w:p>
            <w:pPr>
              <w:spacing w:after="0"/>
              <w:rPr>
                <w:sz w:val="22"/>
                <w:szCs w:val="22"/>
                <w:color w:val="auto"/>
              </w:rPr>
            </w:pPr>
          </w:p>
        </w:tc>
        <w:tc>
          <w:tcPr>
            <w:tcW w:w="200" w:type="dxa"/>
            <w:vAlign w:val="bottom"/>
            <w:tcBorders>
              <w:bottom w:val="single" w:sz="8" w:color="CCEEFF"/>
            </w:tcBorders>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(1,414)</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470</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6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2,528</w:t>
            </w:r>
          </w:p>
        </w:tc>
        <w:tc>
          <w:tcPr>
            <w:tcW w:w="200" w:type="dxa"/>
            <w:vAlign w:val="bottom"/>
            <w:shd w:val="clear" w:color="auto" w:fill="CCEEFF"/>
          </w:tcPr>
          <w:p>
            <w:pPr>
              <w:spacing w:after="0"/>
              <w:rPr>
                <w:sz w:val="18"/>
                <w:szCs w:val="18"/>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264</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421</w:t>
            </w: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2,269</w:t>
            </w:r>
          </w:p>
        </w:tc>
        <w:tc>
          <w:tcPr>
            <w:tcW w:w="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4520" w:type="dxa"/>
            <w:vAlign w:val="bottom"/>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7160" w:type="dxa"/>
            <w:vAlign w:val="bottom"/>
            <w:tcBorders>
              <w:bottom w:val="single" w:sz="8" w:color="auto"/>
            </w:tcBorders>
            <w:gridSpan w:val="6"/>
          </w:tcPr>
          <w:p>
            <w:pPr>
              <w:ind w:left="180"/>
              <w:spacing w:after="0"/>
              <w:rPr>
                <w:sz w:val="20"/>
                <w:szCs w:val="20"/>
                <w:color w:val="auto"/>
              </w:rPr>
            </w:pPr>
            <w:r>
              <w:rPr>
                <w:rFonts w:ascii="Arial" w:cs="Arial" w:eastAsia="Arial" w:hAnsi="Arial"/>
                <w:sz w:val="18"/>
                <w:szCs w:val="18"/>
                <w:b w:val="1"/>
                <w:bCs w:val="1"/>
                <w:color w:val="auto"/>
              </w:rPr>
              <w:t>Nine months ended September 30, 2016</w:t>
            </w: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60" w:type="dxa"/>
            <w:vAlign w:val="bottom"/>
            <w:gridSpan w:val="3"/>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43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9"/>
              </w:rPr>
              <w:t>Details about accumulated other</w:t>
            </w:r>
          </w:p>
        </w:tc>
        <w:tc>
          <w:tcPr>
            <w:tcW w:w="680" w:type="dxa"/>
            <w:vAlign w:val="bottom"/>
          </w:tcPr>
          <w:p>
            <w:pPr>
              <w:spacing w:after="0"/>
              <w:rPr>
                <w:sz w:val="18"/>
                <w:szCs w:val="18"/>
                <w:color w:val="auto"/>
              </w:rPr>
            </w:pPr>
          </w:p>
        </w:tc>
        <w:tc>
          <w:tcPr>
            <w:tcW w:w="21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from accumulated other</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80" w:type="dxa"/>
            <w:vAlign w:val="bottom"/>
          </w:tcPr>
          <w:p>
            <w:pPr>
              <w:jc w:val="center"/>
              <w:ind w:left="590"/>
              <w:spacing w:after="0"/>
              <w:rPr>
                <w:sz w:val="20"/>
                <w:szCs w:val="20"/>
                <w:color w:val="auto"/>
              </w:rPr>
            </w:pPr>
            <w:r>
              <w:rPr>
                <w:rFonts w:ascii="Arial" w:cs="Arial" w:eastAsia="Arial" w:hAnsi="Arial"/>
                <w:sz w:val="18"/>
                <w:szCs w:val="18"/>
                <w:b w:val="1"/>
                <w:bCs w:val="1"/>
                <w:color w:val="auto"/>
                <w:w w:val="86"/>
              </w:rPr>
              <w:t>comprehensive income components</w:t>
            </w: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6"/>
              </w:rPr>
              <w:t>comprehensive 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at FVOCI:</w:t>
            </w:r>
          </w:p>
        </w:tc>
        <w:tc>
          <w:tcPr>
            <w:tcW w:w="6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860" w:type="dxa"/>
            <w:vAlign w:val="bottom"/>
            <w:gridSpan w:val="5"/>
          </w:tcPr>
          <w:p>
            <w:pPr>
              <w:jc w:val="right"/>
              <w:ind w:right="160"/>
              <w:spacing w:after="0"/>
              <w:rPr>
                <w:sz w:val="20"/>
                <w:szCs w:val="20"/>
                <w:color w:val="auto"/>
              </w:rPr>
            </w:pPr>
            <w:r>
              <w:rPr>
                <w:rFonts w:ascii="Arial" w:cs="Arial" w:eastAsia="Arial" w:hAnsi="Arial"/>
                <w:sz w:val="18"/>
                <w:szCs w:val="18"/>
                <w:color w:val="auto"/>
              </w:rPr>
              <w:t>(800)</w:t>
            </w:r>
          </w:p>
        </w:tc>
        <w:tc>
          <w:tcPr>
            <w:tcW w:w="430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(517)</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800" w:type="dxa"/>
            <w:vAlign w:val="bottom"/>
            <w:tcBorders>
              <w:bottom w:val="single" w:sz="8" w:color="CCEEFF"/>
            </w:tcBorders>
            <w:gridSpan w:val="2"/>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(1,317</w:t>
            </w:r>
          </w:p>
        </w:tc>
        <w:tc>
          <w:tcPr>
            <w:tcW w:w="2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w w:val="94"/>
              </w:rPr>
              <w:t>Gains (losses) on derivative financial instruments:</w:t>
            </w: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86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(3,168)</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878</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26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5,022</w:t>
            </w:r>
          </w:p>
        </w:tc>
        <w:tc>
          <w:tcPr>
            <w:tcW w:w="200" w:type="dxa"/>
            <w:vAlign w:val="bottom"/>
            <w:shd w:val="clear" w:color="auto" w:fill="CCEEFF"/>
          </w:tcPr>
          <w:p>
            <w:pPr>
              <w:spacing w:after="0"/>
              <w:rPr>
                <w:sz w:val="18"/>
                <w:szCs w:val="18"/>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Interest rate swaps</w:t>
            </w:r>
          </w:p>
        </w:tc>
        <w:tc>
          <w:tcPr>
            <w:tcW w:w="2660" w:type="dxa"/>
            <w:vAlign w:val="bottom"/>
            <w:gridSpan w:val="4"/>
          </w:tcPr>
          <w:p>
            <w:pPr>
              <w:jc w:val="right"/>
              <w:spacing w:after="0"/>
              <w:rPr>
                <w:sz w:val="20"/>
                <w:szCs w:val="20"/>
                <w:color w:val="auto"/>
              </w:rPr>
            </w:pPr>
            <w:r>
              <w:rPr>
                <w:rFonts w:ascii="Arial" w:cs="Arial" w:eastAsia="Arial" w:hAnsi="Arial"/>
                <w:sz w:val="18"/>
                <w:szCs w:val="18"/>
                <w:color w:val="auto"/>
              </w:rPr>
              <w:t>870</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488</w:t>
            </w: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800" w:type="dxa"/>
            <w:vAlign w:val="bottom"/>
            <w:gridSpan w:val="2"/>
          </w:tcPr>
          <w:p>
            <w:pPr>
              <w:spacing w:after="0"/>
              <w:rPr>
                <w:sz w:val="19"/>
                <w:szCs w:val="19"/>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4,090</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800" w:type="dxa"/>
            <w:vAlign w:val="bottom"/>
            <w:gridSpan w:val="2"/>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gridSpan w:val="3"/>
          </w:tcPr>
          <w:p>
            <w:pPr>
              <w:jc w:val="right"/>
              <w:ind w:right="870"/>
              <w:spacing w:after="0"/>
              <w:rPr>
                <w:sz w:val="20"/>
                <w:szCs w:val="20"/>
                <w:color w:val="auto"/>
              </w:rPr>
            </w:pPr>
            <w:r>
              <w:rPr>
                <w:rFonts w:ascii="Arial" w:cs="Arial" w:eastAsia="Arial" w:hAnsi="Arial"/>
                <w:sz w:val="18"/>
                <w:szCs w:val="18"/>
                <w:color w:val="auto"/>
              </w:rPr>
              <w:t>58</w:t>
            </w: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 The Chief Operating Decision Maker (CODM), represented by the Chief Executive Officer (CEO) and the Executive Committee reviews internal management reports from each division at least quarterly.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at amortized cost, acceptances, loan commitments and financial guarantee contracts. Profits from the Commercial Business Segment include net interest income from loans at amortized cost, fee income, gain on sale of loans at amortized cost, impairment loss from expected credit losses on loans at amortized cost, impairment loss from expected credit losses on loan commitments and financial guarantee contracts, and allocated expenses.</w:t>
      </w:r>
    </w:p>
    <w:p>
      <w:pPr>
        <w:spacing w:after="0" w:line="188"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incorporates deposits in banks and all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38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3300" w:type="dxa"/>
            <w:vAlign w:val="bottom"/>
            <w:tcBorders>
              <w:bottom w:val="single" w:sz="8" w:color="auto"/>
            </w:tcBorders>
            <w:gridSpan w:val="5"/>
          </w:tcPr>
          <w:p>
            <w:pPr>
              <w:ind w:left="940"/>
              <w:spacing w:after="0"/>
              <w:rPr>
                <w:sz w:val="20"/>
                <w:szCs w:val="20"/>
                <w:color w:val="auto"/>
              </w:rPr>
            </w:pPr>
            <w:r>
              <w:rPr>
                <w:rFonts w:ascii="Arial" w:cs="Arial" w:eastAsia="Arial" w:hAnsi="Arial"/>
                <w:sz w:val="18"/>
                <w:szCs w:val="18"/>
                <w:b w:val="1"/>
                <w:bCs w:val="1"/>
                <w:color w:val="auto"/>
                <w:w w:val="88"/>
              </w:rPr>
              <w:t>Periods ended September 30th</w:t>
            </w:r>
          </w:p>
        </w:tc>
        <w:tc>
          <w:tcPr>
            <w:tcW w:w="9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20" w:type="dxa"/>
            <w:vAlign w:val="bottom"/>
          </w:tcPr>
          <w:p>
            <w:pPr>
              <w:spacing w:after="0"/>
              <w:rPr>
                <w:sz w:val="21"/>
                <w:szCs w:val="21"/>
                <w:color w:val="auto"/>
              </w:rPr>
            </w:pPr>
          </w:p>
        </w:tc>
        <w:tc>
          <w:tcPr>
            <w:tcW w:w="7080" w:type="dxa"/>
            <w:vAlign w:val="bottom"/>
            <w:tcBorders>
              <w:bottom w:val="single" w:sz="8" w:color="CCEEFF"/>
            </w:tcBorders>
          </w:tcPr>
          <w:p>
            <w:pPr>
              <w:spacing w:after="0"/>
              <w:rPr>
                <w:sz w:val="21"/>
                <w:szCs w:val="21"/>
                <w:color w:val="auto"/>
              </w:rPr>
            </w:pPr>
          </w:p>
        </w:tc>
        <w:tc>
          <w:tcPr>
            <w:tcW w:w="126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2018</w:t>
            </w:r>
            <w:r>
              <w:rPr>
                <w:rFonts w:ascii="Arial" w:cs="Arial" w:eastAsia="Arial" w:hAnsi="Arial"/>
                <w:sz w:val="29"/>
                <w:szCs w:val="29"/>
                <w:b w:val="1"/>
                <w:bCs w:val="1"/>
                <w:color w:val="auto"/>
                <w:vertAlign w:val="superscript"/>
              </w:rPr>
              <w:t>(1)</w:t>
            </w:r>
          </w:p>
        </w:tc>
        <w:tc>
          <w:tcPr>
            <w:tcW w:w="26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2017</w:t>
            </w:r>
            <w:r>
              <w:rPr>
                <w:rFonts w:ascii="Arial" w:cs="Arial" w:eastAsia="Arial" w:hAnsi="Arial"/>
                <w:sz w:val="29"/>
                <w:szCs w:val="29"/>
                <w:b w:val="1"/>
                <w:bCs w:val="1"/>
                <w:color w:val="auto"/>
                <w:vertAlign w:val="superscript"/>
              </w:rPr>
              <w:t>(1)</w:t>
            </w:r>
          </w:p>
        </w:tc>
        <w:tc>
          <w:tcPr>
            <w:tcW w:w="200" w:type="dxa"/>
            <w:vAlign w:val="bottom"/>
            <w:tcBorders>
              <w:bottom w:val="single" w:sz="8" w:color="CCEEFF"/>
            </w:tcBorders>
          </w:tcPr>
          <w:p>
            <w:pPr>
              <w:spacing w:after="0"/>
              <w:rPr>
                <w:sz w:val="21"/>
                <w:szCs w:val="21"/>
                <w:color w:val="auto"/>
              </w:rPr>
            </w:pPr>
          </w:p>
        </w:tc>
        <w:tc>
          <w:tcPr>
            <w:tcW w:w="340" w:type="dxa"/>
            <w:vAlign w:val="bottom"/>
            <w:tcBorders>
              <w:bottom w:val="single" w:sz="8" w:color="auto"/>
            </w:tcBorders>
          </w:tcPr>
          <w:p>
            <w:pPr>
              <w:spacing w:after="0"/>
              <w:rPr>
                <w:sz w:val="21"/>
                <w:szCs w:val="21"/>
                <w:color w:val="auto"/>
              </w:rPr>
            </w:pPr>
          </w:p>
        </w:tc>
        <w:tc>
          <w:tcPr>
            <w:tcW w:w="92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w w:val="84"/>
              </w:rPr>
              <w:t>2016</w:t>
            </w:r>
            <w:r>
              <w:rPr>
                <w:rFonts w:ascii="Arial" w:cs="Arial" w:eastAsia="Arial" w:hAnsi="Arial"/>
                <w:sz w:val="29"/>
                <w:szCs w:val="29"/>
                <w:b w:val="1"/>
                <w:bCs w:val="1"/>
                <w:color w:val="auto"/>
                <w:w w:val="84"/>
                <w:vertAlign w:val="superscript"/>
              </w:rPr>
              <w:t>(1)</w:t>
            </w:r>
          </w:p>
        </w:tc>
        <w:tc>
          <w:tcPr>
            <w:tcW w:w="10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173,062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160,594</w:t>
            </w:r>
          </w:p>
        </w:tc>
        <w:tc>
          <w:tcPr>
            <w:tcW w:w="340" w:type="dxa"/>
            <w:vAlign w:val="bottom"/>
          </w:tcPr>
          <w:p>
            <w:pPr>
              <w:spacing w:after="0"/>
              <w:rPr>
                <w:sz w:val="18"/>
                <w:szCs w:val="18"/>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177,025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91,631</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68,947</w:t>
            </w:r>
          </w:p>
        </w:tc>
        <w:tc>
          <w:tcPr>
            <w:tcW w:w="340" w:type="dxa"/>
            <w:vAlign w:val="bottom"/>
          </w:tcPr>
          <w:p>
            <w:pPr>
              <w:spacing w:after="0"/>
              <w:rPr>
                <w:sz w:val="19"/>
                <w:szCs w:val="19"/>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71,645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81,431</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91,647</w:t>
            </w:r>
          </w:p>
        </w:tc>
        <w:tc>
          <w:tcPr>
            <w:tcW w:w="20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105,380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10,683</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12,410</w:t>
            </w:r>
          </w:p>
        </w:tc>
        <w:tc>
          <w:tcPr>
            <w:tcW w:w="340" w:type="dxa"/>
            <w:vAlign w:val="bottom"/>
          </w:tcPr>
          <w:p>
            <w:pPr>
              <w:spacing w:after="0"/>
              <w:rPr>
                <w:sz w:val="23"/>
                <w:szCs w:val="23"/>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11,632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92,114</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104,057</w:t>
            </w:r>
          </w:p>
        </w:tc>
        <w:tc>
          <w:tcPr>
            <w:tcW w:w="20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117,012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Less: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3"/>
              </w:rPr>
              <w:t>Impairment loss from expected credit losses on loans and impairment loss from expected credit</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losses on loan commitments and financial guarantee contracts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58,883</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9,035</w:t>
            </w:r>
          </w:p>
        </w:tc>
        <w:tc>
          <w:tcPr>
            <w:tcW w:w="34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17,127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in other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2,118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28,119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26,217</w:t>
            </w:r>
          </w:p>
        </w:tc>
        <w:tc>
          <w:tcPr>
            <w:tcW w:w="34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25,412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2,994</w:t>
            </w:r>
          </w:p>
        </w:tc>
        <w:tc>
          <w:tcPr>
            <w:tcW w:w="26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68,805</w:t>
            </w:r>
          </w:p>
        </w:tc>
        <w:tc>
          <w:tcPr>
            <w:tcW w:w="200" w:type="dxa"/>
            <w:vAlign w:val="bottom"/>
            <w:tcBorders>
              <w:bottom w:val="single" w:sz="8" w:color="CCEEFF"/>
            </w:tcBorders>
          </w:tcPr>
          <w:p>
            <w:pPr>
              <w:spacing w:after="0"/>
              <w:rPr>
                <w:sz w:val="18"/>
                <w:szCs w:val="18"/>
                <w:color w:val="auto"/>
              </w:rPr>
            </w:pPr>
          </w:p>
        </w:tc>
        <w:tc>
          <w:tcPr>
            <w:tcW w:w="340" w:type="dxa"/>
            <w:vAlign w:val="bottom"/>
            <w:tcBorders>
              <w:top w:val="single" w:sz="8" w:color="auto"/>
              <w:bottom w:val="single" w:sz="8" w:color="auto"/>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74,474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08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w w:val="97"/>
              </w:rPr>
              <w:t>Commercial assets and loan commitments and financial guarantee contracts (end of period</w:t>
            </w:r>
          </w:p>
        </w:tc>
        <w:tc>
          <w:tcPr>
            <w:tcW w:w="12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9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balances):</w:t>
            </w: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34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080" w:type="dxa"/>
            <w:vAlign w:val="bottom"/>
          </w:tcPr>
          <w:p>
            <w:pPr>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(3 and 5)</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5,717,161</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5,337,353</w:t>
            </w:r>
          </w:p>
        </w:tc>
        <w:tc>
          <w:tcPr>
            <w:tcW w:w="340" w:type="dxa"/>
            <w:vAlign w:val="bottom"/>
          </w:tcPr>
          <w:p>
            <w:pPr>
              <w:spacing w:after="0"/>
              <w:rPr>
                <w:sz w:val="22"/>
                <w:szCs w:val="22"/>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6,384,687</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580,072</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362,919</w:t>
            </w:r>
          </w:p>
        </w:tc>
        <w:tc>
          <w:tcPr>
            <w:tcW w:w="34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367,003</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080" w:type="dxa"/>
            <w:vAlign w:val="bottom"/>
          </w:tcPr>
          <w:p>
            <w:pPr>
              <w:spacing w:after="0" w:line="182" w:lineRule="exact"/>
              <w:rPr>
                <w:sz w:val="20"/>
                <w:szCs w:val="20"/>
                <w:color w:val="auto"/>
              </w:rPr>
            </w:pPr>
            <w:r>
              <w:rPr>
                <w:rFonts w:ascii="Arial" w:cs="Arial" w:eastAsia="Arial" w:hAnsi="Arial"/>
                <w:sz w:val="18"/>
                <w:szCs w:val="18"/>
                <w:color w:val="auto"/>
                <w:w w:val="98"/>
              </w:rPr>
              <w:t>Total interest-earning assets, other assets and loan commitments and financial guarantee</w:t>
            </w:r>
          </w:p>
        </w:tc>
        <w:tc>
          <w:tcPr>
            <w:tcW w:w="1260" w:type="dxa"/>
            <w:vAlign w:val="bottom"/>
            <w:tcBorders>
              <w:top w:val="single" w:sz="8" w:color="auto"/>
            </w:tcBorders>
          </w:tcPr>
          <w:p>
            <w:pPr>
              <w:spacing w:after="0"/>
              <w:rPr>
                <w:sz w:val="15"/>
                <w:szCs w:val="15"/>
                <w:color w:val="auto"/>
              </w:rPr>
            </w:pPr>
          </w:p>
        </w:tc>
        <w:tc>
          <w:tcPr>
            <w:tcW w:w="260" w:type="dxa"/>
            <w:vAlign w:val="bottom"/>
          </w:tcPr>
          <w:p>
            <w:pPr>
              <w:spacing w:after="0"/>
              <w:rPr>
                <w:sz w:val="15"/>
                <w:szCs w:val="15"/>
                <w:color w:val="auto"/>
              </w:rPr>
            </w:pPr>
          </w:p>
        </w:tc>
        <w:tc>
          <w:tcPr>
            <w:tcW w:w="124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34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7"/>
        </w:trPr>
        <w:tc>
          <w:tcPr>
            <w:tcW w:w="7100" w:type="dxa"/>
            <w:vAlign w:val="bottom"/>
            <w:gridSpan w:val="2"/>
          </w:tcPr>
          <w:p>
            <w:pPr>
              <w:spacing w:after="0"/>
              <w:rPr>
                <w:sz w:val="20"/>
                <w:szCs w:val="20"/>
                <w:color w:val="auto"/>
              </w:rPr>
            </w:pPr>
            <w:r>
              <w:rPr>
                <w:rFonts w:ascii="Arial" w:cs="Arial" w:eastAsia="Arial" w:hAnsi="Arial"/>
                <w:sz w:val="18"/>
                <w:szCs w:val="18"/>
                <w:color w:val="auto"/>
              </w:rPr>
              <w:t>contracts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6,297,233</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5,700,272</w:t>
            </w:r>
          </w:p>
        </w:tc>
        <w:tc>
          <w:tcPr>
            <w:tcW w:w="340" w:type="dxa"/>
            <w:vAlign w:val="bottom"/>
          </w:tcPr>
          <w:p>
            <w:pPr>
              <w:spacing w:after="0"/>
              <w:rPr>
                <w:sz w:val="24"/>
                <w:szCs w:val="24"/>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6,751,690</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08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Treasury</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11,314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9,686</w:t>
            </w:r>
          </w:p>
        </w:tc>
        <w:tc>
          <w:tcPr>
            <w:tcW w:w="3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Less: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10,970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9,659</w:t>
            </w:r>
          </w:p>
        </w:tc>
        <w:tc>
          <w:tcPr>
            <w:tcW w:w="34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4,721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344</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w:t>
            </w:r>
          </w:p>
        </w:tc>
        <w:tc>
          <w:tcPr>
            <w:tcW w:w="20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12,144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(513)</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(278)</w:t>
            </w:r>
          </w:p>
        </w:tc>
        <w:tc>
          <w:tcPr>
            <w:tcW w:w="34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(4,379)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(169</w:t>
            </w:r>
          </w:p>
        </w:tc>
        <w:tc>
          <w:tcPr>
            <w:tcW w:w="260" w:type="dxa"/>
            <w:vAlign w:val="bottom"/>
            <w:tcBorders>
              <w:bottom w:val="single" w:sz="8" w:color="CCEEFF"/>
            </w:tcBorders>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340" w:type="dxa"/>
            <w:vAlign w:val="bottom"/>
            <w:tcBorders>
              <w:top w:val="single" w:sz="8" w:color="auto"/>
              <w:bottom w:val="single" w:sz="8" w:color="auto"/>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7,765</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(Recovery) impairment loss for expected credit losses on investment securities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(47)</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390</w:t>
            </w:r>
          </w:p>
        </w:tc>
        <w:tc>
          <w:tcPr>
            <w:tcW w:w="340" w:type="dxa"/>
            <w:vAlign w:val="bottom"/>
          </w:tcPr>
          <w:p>
            <w:pPr>
              <w:spacing w:after="0"/>
              <w:rPr>
                <w:sz w:val="18"/>
                <w:szCs w:val="18"/>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(276)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Expenses, less impairment loss for expected credit losses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8,416</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7,544</w:t>
            </w:r>
          </w:p>
        </w:tc>
        <w:tc>
          <w:tcPr>
            <w:tcW w:w="34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8,261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(loss)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(8,538</w:t>
            </w:r>
          </w:p>
        </w:tc>
        <w:tc>
          <w:tcPr>
            <w:tcW w:w="260" w:type="dxa"/>
            <w:vAlign w:val="bottom"/>
            <w:tcBorders>
              <w:bottom w:val="single" w:sz="8" w:color="CCEEFF"/>
            </w:tcBorders>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(7,405</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340" w:type="dxa"/>
            <w:vAlign w:val="bottom"/>
            <w:tcBorders>
              <w:top w:val="single" w:sz="8" w:color="auto"/>
              <w:bottom w:val="single" w:sz="8" w:color="auto"/>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Treasury assets (end of period balances):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tcPr>
          <w:p>
            <w:pPr>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886,105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887,149</w:t>
            </w:r>
          </w:p>
        </w:tc>
        <w:tc>
          <w:tcPr>
            <w:tcW w:w="340" w:type="dxa"/>
            <w:vAlign w:val="bottom"/>
          </w:tcPr>
          <w:p>
            <w:pPr>
              <w:spacing w:after="0"/>
              <w:rPr>
                <w:sz w:val="23"/>
                <w:szCs w:val="23"/>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900,127</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interest-earning assets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886,105</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887,149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900,127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7080" w:type="dxa"/>
            <w:vAlign w:val="bottom"/>
            <w:vMerge w:val="restart"/>
          </w:tcPr>
          <w:p>
            <w:pPr>
              <w:jc w:val="right"/>
              <w:ind w:right="1210"/>
              <w:spacing w:after="0"/>
              <w:rPr>
                <w:sz w:val="20"/>
                <w:szCs w:val="20"/>
                <w:color w:val="auto"/>
              </w:rPr>
            </w:pPr>
            <w:r>
              <w:rPr>
                <w:rFonts w:ascii="Arial" w:cs="Arial" w:eastAsia="Arial" w:hAnsi="Arial"/>
                <w:sz w:val="18"/>
                <w:szCs w:val="18"/>
                <w:color w:val="auto"/>
              </w:rPr>
              <w:t>60</w:t>
            </w: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20" w:type="dxa"/>
            <w:vAlign w:val="bottom"/>
            <w:vMerge w:val="continue"/>
          </w:tcPr>
          <w:p>
            <w:pPr>
              <w:spacing w:after="0"/>
              <w:rPr>
                <w:sz w:val="24"/>
                <w:szCs w:val="24"/>
                <w:color w:val="auto"/>
              </w:rPr>
            </w:pPr>
          </w:p>
        </w:tc>
        <w:tc>
          <w:tcPr>
            <w:tcW w:w="708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100" w:type="dxa"/>
            <w:vAlign w:val="bottom"/>
            <w:gridSpan w:val="2"/>
          </w:tcPr>
          <w:p>
            <w:pPr>
              <w:spacing w:after="0"/>
              <w:rPr>
                <w:sz w:val="20"/>
                <w:szCs w:val="20"/>
                <w:color w:val="auto"/>
              </w:rPr>
            </w:pPr>
            <w:r>
              <w:rPr>
                <w:rFonts w:ascii="Arial" w:cs="Arial" w:eastAsia="Arial" w:hAnsi="Arial"/>
                <w:sz w:val="18"/>
                <w:szCs w:val="18"/>
                <w:b w:val="1"/>
                <w:bCs w:val="1"/>
                <w:color w:val="auto"/>
              </w:rPr>
              <w:t>17. Business segment information (continued)</w:t>
            </w:r>
          </w:p>
        </w:tc>
        <w:tc>
          <w:tcPr>
            <w:tcW w:w="1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7080" w:type="dxa"/>
            <w:vAlign w:val="bottom"/>
          </w:tcPr>
          <w:p>
            <w:pPr>
              <w:spacing w:after="0"/>
              <w:rPr>
                <w:sz w:val="24"/>
                <w:szCs w:val="24"/>
                <w:color w:val="auto"/>
              </w:rPr>
            </w:pPr>
          </w:p>
        </w:tc>
        <w:tc>
          <w:tcPr>
            <w:tcW w:w="3300" w:type="dxa"/>
            <w:vAlign w:val="bottom"/>
            <w:tcBorders>
              <w:bottom w:val="single" w:sz="8" w:color="auto"/>
            </w:tcBorders>
            <w:gridSpan w:val="5"/>
          </w:tcPr>
          <w:p>
            <w:pPr>
              <w:ind w:left="940"/>
              <w:spacing w:after="0"/>
              <w:rPr>
                <w:sz w:val="20"/>
                <w:szCs w:val="20"/>
                <w:color w:val="auto"/>
              </w:rPr>
            </w:pPr>
            <w:r>
              <w:rPr>
                <w:rFonts w:ascii="Arial" w:cs="Arial" w:eastAsia="Arial" w:hAnsi="Arial"/>
                <w:sz w:val="18"/>
                <w:szCs w:val="18"/>
                <w:b w:val="1"/>
                <w:bCs w:val="1"/>
                <w:color w:val="auto"/>
                <w:w w:val="88"/>
              </w:rPr>
              <w:t>Periods ended September 30th</w:t>
            </w:r>
          </w:p>
        </w:tc>
        <w:tc>
          <w:tcPr>
            <w:tcW w:w="9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7100" w:type="dxa"/>
            <w:vAlign w:val="bottom"/>
            <w:gridSpan w:val="2"/>
          </w:tcPr>
          <w:p>
            <w:pPr>
              <w:spacing w:after="0"/>
              <w:rPr>
                <w:sz w:val="20"/>
                <w:szCs w:val="20"/>
                <w:color w:val="auto"/>
              </w:rPr>
            </w:pPr>
            <w:r>
              <w:rPr>
                <w:rFonts w:ascii="Arial" w:cs="Arial" w:eastAsia="Arial" w:hAnsi="Arial"/>
                <w:sz w:val="18"/>
                <w:szCs w:val="18"/>
                <w:b w:val="1"/>
                <w:bCs w:val="1"/>
                <w:color w:val="auto"/>
              </w:rPr>
              <w:t>Combined business segment total</w:t>
            </w:r>
          </w:p>
        </w:tc>
        <w:tc>
          <w:tcPr>
            <w:tcW w:w="126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2018</w:t>
            </w:r>
            <w:r>
              <w:rPr>
                <w:rFonts w:ascii="Arial" w:cs="Arial" w:eastAsia="Arial" w:hAnsi="Arial"/>
                <w:sz w:val="29"/>
                <w:szCs w:val="29"/>
                <w:b w:val="1"/>
                <w:bCs w:val="1"/>
                <w:color w:val="auto"/>
                <w:vertAlign w:val="superscript"/>
              </w:rPr>
              <w:t>(1)</w:t>
            </w:r>
          </w:p>
        </w:tc>
        <w:tc>
          <w:tcPr>
            <w:tcW w:w="260" w:type="dxa"/>
            <w:vAlign w:val="bottom"/>
          </w:tcPr>
          <w:p>
            <w:pPr>
              <w:spacing w:after="0"/>
              <w:rPr>
                <w:sz w:val="21"/>
                <w:szCs w:val="21"/>
                <w:color w:val="auto"/>
              </w:rPr>
            </w:pPr>
          </w:p>
        </w:tc>
        <w:tc>
          <w:tcPr>
            <w:tcW w:w="124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2017</w:t>
            </w:r>
            <w:r>
              <w:rPr>
                <w:rFonts w:ascii="Arial" w:cs="Arial" w:eastAsia="Arial" w:hAnsi="Arial"/>
                <w:sz w:val="29"/>
                <w:szCs w:val="29"/>
                <w:b w:val="1"/>
                <w:bCs w:val="1"/>
                <w:color w:val="auto"/>
                <w:vertAlign w:val="superscript"/>
              </w:rPr>
              <w:t>(1)</w:t>
            </w:r>
          </w:p>
        </w:tc>
        <w:tc>
          <w:tcPr>
            <w:tcW w:w="200" w:type="dxa"/>
            <w:vAlign w:val="bottom"/>
          </w:tcPr>
          <w:p>
            <w:pPr>
              <w:spacing w:after="0"/>
              <w:rPr>
                <w:sz w:val="21"/>
                <w:szCs w:val="21"/>
                <w:color w:val="auto"/>
              </w:rPr>
            </w:pPr>
          </w:p>
        </w:tc>
        <w:tc>
          <w:tcPr>
            <w:tcW w:w="340" w:type="dxa"/>
            <w:vAlign w:val="bottom"/>
            <w:tcBorders>
              <w:bottom w:val="single" w:sz="8" w:color="auto"/>
            </w:tcBorders>
          </w:tcPr>
          <w:p>
            <w:pPr>
              <w:spacing w:after="0"/>
              <w:rPr>
                <w:sz w:val="21"/>
                <w:szCs w:val="21"/>
                <w:color w:val="auto"/>
              </w:rPr>
            </w:pPr>
          </w:p>
        </w:tc>
        <w:tc>
          <w:tcPr>
            <w:tcW w:w="920" w:type="dxa"/>
            <w:vAlign w:val="bottom"/>
            <w:tcBorders>
              <w:bottom w:val="single" w:sz="8" w:color="auto"/>
            </w:tcBorders>
          </w:tcPr>
          <w:p>
            <w:pPr>
              <w:jc w:val="right"/>
              <w:ind w:right="272"/>
              <w:spacing w:after="0" w:line="251" w:lineRule="exact"/>
              <w:rPr>
                <w:sz w:val="20"/>
                <w:szCs w:val="20"/>
                <w:color w:val="auto"/>
              </w:rPr>
            </w:pPr>
            <w:r>
              <w:rPr>
                <w:rFonts w:ascii="Arial" w:cs="Arial" w:eastAsia="Arial" w:hAnsi="Arial"/>
                <w:sz w:val="29"/>
                <w:szCs w:val="29"/>
                <w:b w:val="1"/>
                <w:bCs w:val="1"/>
                <w:color w:val="auto"/>
                <w:w w:val="97"/>
                <w:vertAlign w:val="subscript"/>
              </w:rPr>
              <w:t>201</w:t>
            </w:r>
            <w:r>
              <w:rPr>
                <w:rFonts w:ascii="Arial" w:cs="Arial" w:eastAsia="Arial" w:hAnsi="Arial"/>
                <w:sz w:val="13"/>
                <w:szCs w:val="13"/>
                <w:b w:val="1"/>
                <w:bCs w:val="1"/>
                <w:color w:val="auto"/>
                <w:w w:val="97"/>
              </w:rPr>
              <w:t>6(1)</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184,376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170,280</w:t>
            </w:r>
          </w:p>
        </w:tc>
        <w:tc>
          <w:tcPr>
            <w:tcW w:w="3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184,448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Less: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102,601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78,606</w:t>
            </w:r>
          </w:p>
        </w:tc>
        <w:tc>
          <w:tcPr>
            <w:tcW w:w="34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66,924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81,775</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91,674</w:t>
            </w:r>
          </w:p>
        </w:tc>
        <w:tc>
          <w:tcPr>
            <w:tcW w:w="20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117,524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10,170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12,132</w:t>
            </w:r>
          </w:p>
        </w:tc>
        <w:tc>
          <w:tcPr>
            <w:tcW w:w="34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7,253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91,945</w:t>
            </w:r>
          </w:p>
        </w:tc>
        <w:tc>
          <w:tcPr>
            <w:tcW w:w="26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103,806</w:t>
            </w:r>
          </w:p>
        </w:tc>
        <w:tc>
          <w:tcPr>
            <w:tcW w:w="200" w:type="dxa"/>
            <w:vAlign w:val="bottom"/>
            <w:tcBorders>
              <w:bottom w:val="single" w:sz="8" w:color="CCEEFF"/>
            </w:tcBorders>
          </w:tcPr>
          <w:p>
            <w:pPr>
              <w:spacing w:after="0"/>
              <w:rPr>
                <w:sz w:val="18"/>
                <w:szCs w:val="18"/>
                <w:color w:val="auto"/>
              </w:rPr>
            </w:pPr>
          </w:p>
        </w:tc>
        <w:tc>
          <w:tcPr>
            <w:tcW w:w="340" w:type="dxa"/>
            <w:vAlign w:val="bottom"/>
            <w:tcBorders>
              <w:top w:val="single" w:sz="8" w:color="auto"/>
              <w:bottom w:val="single" w:sz="8" w:color="auto"/>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124,777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080" w:type="dxa"/>
            <w:vAlign w:val="bottom"/>
          </w:tcPr>
          <w:p>
            <w:pPr>
              <w:spacing w:after="0" w:line="201" w:lineRule="exact"/>
              <w:rPr>
                <w:sz w:val="20"/>
                <w:szCs w:val="20"/>
                <w:color w:val="auto"/>
              </w:rPr>
            </w:pPr>
            <w:r>
              <w:rPr>
                <w:rFonts w:ascii="Arial" w:cs="Arial" w:eastAsia="Arial" w:hAnsi="Arial"/>
                <w:sz w:val="18"/>
                <w:szCs w:val="18"/>
                <w:color w:val="auto"/>
                <w:w w:val="93"/>
              </w:rPr>
              <w:t>Impairment loss from expected credit losses on loans and impairment loss from expected credit</w:t>
            </w:r>
          </w:p>
        </w:tc>
        <w:tc>
          <w:tcPr>
            <w:tcW w:w="1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7100" w:type="dxa"/>
            <w:vAlign w:val="bottom"/>
            <w:gridSpan w:val="2"/>
          </w:tcPr>
          <w:p>
            <w:pPr>
              <w:spacing w:after="0"/>
              <w:rPr>
                <w:sz w:val="20"/>
                <w:szCs w:val="20"/>
                <w:color w:val="auto"/>
              </w:rPr>
            </w:pPr>
            <w:r>
              <w:rPr>
                <w:rFonts w:ascii="Arial" w:cs="Arial" w:eastAsia="Arial" w:hAnsi="Arial"/>
                <w:sz w:val="18"/>
                <w:szCs w:val="18"/>
                <w:color w:val="auto"/>
              </w:rPr>
              <w:t>losses on loan commitments and financial guarantee contracts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58,883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9,035</w:t>
            </w:r>
          </w:p>
        </w:tc>
        <w:tc>
          <w:tcPr>
            <w:tcW w:w="340" w:type="dxa"/>
            <w:vAlign w:val="bottom"/>
          </w:tcPr>
          <w:p>
            <w:pPr>
              <w:spacing w:after="0"/>
              <w:rPr>
                <w:sz w:val="20"/>
                <w:szCs w:val="20"/>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17,127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(Recoveries) impairment loss from expected credit losses on investment securities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(390)</w:t>
            </w:r>
          </w:p>
        </w:tc>
        <w:tc>
          <w:tcPr>
            <w:tcW w:w="3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in other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2,118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36,535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33,761</w:t>
            </w:r>
          </w:p>
        </w:tc>
        <w:tc>
          <w:tcPr>
            <w:tcW w:w="34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33,673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(Loss) profit for reportable segments</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(5,544)</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61,400</w:t>
            </w:r>
          </w:p>
        </w:tc>
        <w:tc>
          <w:tcPr>
            <w:tcW w:w="20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73,701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vMerge w:val="continue"/>
          </w:tcPr>
          <w:p>
            <w:pPr>
              <w:spacing w:after="0"/>
              <w:rPr>
                <w:sz w:val="23"/>
                <w:szCs w:val="23"/>
                <w:color w:val="auto"/>
              </w:rPr>
            </w:pPr>
          </w:p>
        </w:tc>
        <w:tc>
          <w:tcPr>
            <w:tcW w:w="7080" w:type="dxa"/>
            <w:vAlign w:val="bottom"/>
          </w:tcPr>
          <w:p>
            <w:pPr>
              <w:spacing w:after="0" w:line="269" w:lineRule="exact"/>
              <w:rPr>
                <w:sz w:val="20"/>
                <w:szCs w:val="20"/>
                <w:color w:val="auto"/>
              </w:rPr>
            </w:pPr>
            <w:r>
              <w:rPr>
                <w:rFonts w:ascii="Arial" w:cs="Arial" w:eastAsia="Arial" w:hAnsi="Arial"/>
                <w:sz w:val="18"/>
                <w:szCs w:val="18"/>
                <w:color w:val="auto"/>
              </w:rPr>
              <w:t xml:space="preserve">Unallocated disposal of intangible and other assets </w:t>
            </w:r>
            <w:r>
              <w:rPr>
                <w:rFonts w:ascii="Arial" w:cs="Arial" w:eastAsia="Arial" w:hAnsi="Arial"/>
                <w:sz w:val="30"/>
                <w:szCs w:val="30"/>
                <w:color w:val="auto"/>
                <w:vertAlign w:val="superscript"/>
              </w:rPr>
              <w:t>(6)</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(4,051)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w:t>
            </w:r>
          </w:p>
        </w:tc>
        <w:tc>
          <w:tcPr>
            <w:tcW w:w="340" w:type="dxa"/>
            <w:vAlign w:val="bottom"/>
          </w:tcPr>
          <w:p>
            <w:pPr>
              <w:spacing w:after="0"/>
              <w:rPr>
                <w:sz w:val="23"/>
                <w:szCs w:val="23"/>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(Loss) profit for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(9,595</w:t>
            </w:r>
          </w:p>
        </w:tc>
        <w:tc>
          <w:tcPr>
            <w:tcW w:w="260" w:type="dxa"/>
            <w:vAlign w:val="bottom"/>
            <w:tcBorders>
              <w:top w:val="single" w:sz="8" w:color="CCEEFF"/>
              <w:bottom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61,400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73,701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1">
            <w:col w:w="11420"/>
          </w:cols>
          <w:pgMar w:left="240" w:top="878" w:right="239" w:bottom="1440" w:gutter="0" w:footer="0" w:header="0"/>
        </w:sectPr>
      </w:pPr>
    </w:p>
    <w:p>
      <w:pPr>
        <w:spacing w:after="0" w:line="200" w:lineRule="exact"/>
        <w:rPr>
          <w:sz w:val="20"/>
          <w:szCs w:val="20"/>
          <w:color w:val="auto"/>
        </w:rPr>
      </w:pPr>
    </w:p>
    <w:p>
      <w:pPr>
        <w:spacing w:after="0" w:line="24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Total assets and loan commitments and financial guarantee contracts (end of period balances):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-115570</wp:posOffset>
            </wp:positionV>
            <wp:extent cx="6955155" cy="14605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340"/>
        <w:spacing w:after="0" w:line="211" w:lineRule="auto"/>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0</wp:posOffset>
            </wp:positionV>
            <wp:extent cx="6955155" cy="17145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6955155" cy="171450"/>
                    </a:xfrm>
                    <a:prstGeom prst="rect">
                      <a:avLst/>
                    </a:prstGeom>
                    <a:noFill/>
                  </pic:spPr>
                </pic:pic>
              </a:graphicData>
            </a:graphic>
          </wp:anchor>
        </w:drawing>
      </w:r>
    </w:p>
    <w:p>
      <w:pPr>
        <w:ind w:left="340"/>
        <w:spacing w:after="0" w:line="188" w:lineRule="auto"/>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5"/>
          <w:szCs w:val="15"/>
          <w:color w:val="auto"/>
        </w:rPr>
        <w:t>Total interest-earning assets, other assets and loan commitments and financial guarantee contracts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420" w:type="dxa"/>
            <w:vAlign w:val="bottom"/>
          </w:tcPr>
          <w:p>
            <w:pPr>
              <w:jc w:val="right"/>
              <w:ind w:right="9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2017</w:t>
            </w:r>
          </w:p>
        </w:tc>
      </w:tr>
      <w:tr>
        <w:trPr>
          <w:trHeight w:val="466"/>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6,603,266</w:t>
            </w:r>
          </w:p>
        </w:tc>
        <w:tc>
          <w:tcPr>
            <w:tcW w:w="1420" w:type="dxa"/>
            <w:vAlign w:val="bottom"/>
          </w:tcPr>
          <w:p>
            <w:pPr>
              <w:jc w:val="right"/>
              <w:spacing w:after="0"/>
              <w:rPr>
                <w:sz w:val="20"/>
                <w:szCs w:val="20"/>
                <w:color w:val="auto"/>
              </w:rPr>
            </w:pPr>
            <w:r>
              <w:rPr>
                <w:rFonts w:ascii="Arial" w:cs="Arial" w:eastAsia="Arial" w:hAnsi="Arial"/>
                <w:sz w:val="18"/>
                <w:szCs w:val="18"/>
                <w:color w:val="auto"/>
              </w:rPr>
              <w:t>6,258,584</w:t>
            </w:r>
          </w:p>
        </w:tc>
      </w:tr>
      <w:tr>
        <w:trPr>
          <w:trHeight w:val="27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580,072</w:t>
            </w:r>
          </w:p>
        </w:tc>
        <w:tc>
          <w:tcPr>
            <w:tcW w:w="1420" w:type="dxa"/>
            <w:vAlign w:val="bottom"/>
          </w:tcPr>
          <w:p>
            <w:pPr>
              <w:jc w:val="right"/>
              <w:spacing w:after="0"/>
              <w:rPr>
                <w:sz w:val="20"/>
                <w:szCs w:val="20"/>
                <w:color w:val="auto"/>
              </w:rPr>
            </w:pPr>
            <w:r>
              <w:rPr>
                <w:rFonts w:ascii="Arial" w:cs="Arial" w:eastAsia="Arial" w:hAnsi="Arial"/>
                <w:sz w:val="18"/>
                <w:szCs w:val="18"/>
                <w:color w:val="auto"/>
              </w:rPr>
              <w:t>493,794</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7,183,338</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6,752,378</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r>
    </w:tbl>
    <w:p>
      <w:pPr>
        <w:spacing w:after="0" w:line="87" w:lineRule="exact"/>
        <w:rPr>
          <w:sz w:val="20"/>
          <w:szCs w:val="20"/>
          <w:color w:val="auto"/>
        </w:rPr>
      </w:pPr>
    </w:p>
    <w:p>
      <w:pPr>
        <w:sectPr>
          <w:pgSz w:w="11900" w:h="16838" w:orient="portrait"/>
          <w:cols w:equalWidth="0" w:num="2">
            <w:col w:w="7400" w:space="720"/>
            <w:col w:w="3300"/>
          </w:cols>
          <w:pgMar w:left="240" w:top="878" w:right="239" w:bottom="1440" w:gutter="0" w:footer="0" w:header="0"/>
          <w:type w:val="continuous"/>
        </w:sectPr>
      </w:pPr>
    </w:p>
    <w:p>
      <w:pPr>
        <w:ind w:left="660" w:hanging="328"/>
        <w:spacing w:after="0"/>
        <w:tabs>
          <w:tab w:leader="none" w:pos="660" w:val="left"/>
        </w:tabs>
        <w:numPr>
          <w:ilvl w:val="0"/>
          <w:numId w:val="73"/>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660" w:hanging="328"/>
        <w:spacing w:after="0" w:line="187" w:lineRule="auto"/>
        <w:tabs>
          <w:tab w:leader="none" w:pos="660" w:val="left"/>
        </w:tabs>
        <w:numPr>
          <w:ilvl w:val="0"/>
          <w:numId w:val="73"/>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consists of other income including gains on sale of loans, gains (loss) per financial instrument at FVTPL and FVOCI, derivative instruments and foreign currency exchange.</w:t>
      </w:r>
    </w:p>
    <w:p>
      <w:pPr>
        <w:ind w:left="660" w:hanging="328"/>
        <w:spacing w:after="0" w:line="180" w:lineRule="auto"/>
        <w:tabs>
          <w:tab w:leader="none" w:pos="660" w:val="left"/>
        </w:tabs>
        <w:numPr>
          <w:ilvl w:val="0"/>
          <w:numId w:val="73"/>
        </w:numPr>
        <w:rPr>
          <w:rFonts w:ascii="Arial" w:cs="Arial" w:eastAsia="Arial" w:hAnsi="Arial"/>
          <w:sz w:val="25"/>
          <w:szCs w:val="25"/>
          <w:b w:val="1"/>
          <w:bCs w:val="1"/>
          <w:color w:val="auto"/>
          <w:vertAlign w:val="superscript"/>
        </w:rPr>
      </w:pPr>
      <w:r>
        <w:rPr>
          <w:rFonts w:ascii="Arial" w:cs="Arial" w:eastAsia="Arial" w:hAnsi="Arial"/>
          <w:sz w:val="16"/>
          <w:szCs w:val="16"/>
          <w:color w:val="auto"/>
        </w:rPr>
        <w:t>Includes deposits and loans, net of unearned interest and deferred fees.</w:t>
      </w:r>
    </w:p>
    <w:p>
      <w:pPr>
        <w:spacing w:after="0" w:line="2" w:lineRule="exact"/>
        <w:rPr>
          <w:rFonts w:ascii="Arial" w:cs="Arial" w:eastAsia="Arial" w:hAnsi="Arial"/>
          <w:sz w:val="25"/>
          <w:szCs w:val="25"/>
          <w:b w:val="1"/>
          <w:bCs w:val="1"/>
          <w:color w:val="auto"/>
          <w:vertAlign w:val="superscript"/>
        </w:rPr>
      </w:pPr>
    </w:p>
    <w:p>
      <w:pPr>
        <w:ind w:left="660" w:hanging="328"/>
        <w:spacing w:after="0" w:line="186" w:lineRule="auto"/>
        <w:tabs>
          <w:tab w:leader="none" w:pos="660" w:val="left"/>
        </w:tabs>
        <w:numPr>
          <w:ilvl w:val="0"/>
          <w:numId w:val="73"/>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loans commitments and financial guarantees contracts.</w:t>
      </w:r>
    </w:p>
    <w:p>
      <w:pPr>
        <w:spacing w:after="0" w:line="2" w:lineRule="exact"/>
        <w:rPr>
          <w:rFonts w:ascii="Arial" w:cs="Arial" w:eastAsia="Arial" w:hAnsi="Arial"/>
          <w:sz w:val="24"/>
          <w:szCs w:val="24"/>
          <w:b w:val="1"/>
          <w:bCs w:val="1"/>
          <w:color w:val="auto"/>
          <w:vertAlign w:val="superscript"/>
        </w:rPr>
      </w:pPr>
    </w:p>
    <w:p>
      <w:pPr>
        <w:ind w:left="660" w:right="20" w:hanging="328"/>
        <w:spacing w:after="0" w:line="187" w:lineRule="auto"/>
        <w:tabs>
          <w:tab w:leader="none" w:pos="660" w:val="left"/>
        </w:tabs>
        <w:numPr>
          <w:ilvl w:val="0"/>
          <w:numId w:val="73"/>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cash equivalents, interest-bearing deposits with banks, financial instruments at fair value through OCI, financial instruments at amortized cost and financial instruments at fair value through profit or loss.</w:t>
      </w: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type w:val="continuous"/>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20" w:type="dxa"/>
            <w:vAlign w:val="bottom"/>
            <w:gridSpan w:val="3"/>
          </w:tcPr>
          <w:p>
            <w:pPr>
              <w:spacing w:after="0"/>
              <w:rPr>
                <w:sz w:val="20"/>
                <w:szCs w:val="20"/>
                <w:color w:val="auto"/>
              </w:rPr>
            </w:pPr>
            <w:r>
              <w:rPr>
                <w:rFonts w:ascii="Arial" w:cs="Arial" w:eastAsia="Arial" w:hAnsi="Arial"/>
                <w:sz w:val="18"/>
                <w:szCs w:val="18"/>
                <w:b w:val="1"/>
                <w:bCs w:val="1"/>
                <w:color w:val="auto"/>
              </w:rPr>
              <w:t>17. Business segment information (continued)</w:t>
            </w:r>
          </w:p>
        </w:tc>
        <w:tc>
          <w:tcPr>
            <w:tcW w:w="14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5660" w:type="dxa"/>
            <w:vAlign w:val="bottom"/>
          </w:tcPr>
          <w:p>
            <w:pPr>
              <w:spacing w:after="0"/>
              <w:rPr>
                <w:sz w:val="24"/>
                <w:szCs w:val="24"/>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September 30,</w:t>
            </w:r>
          </w:p>
        </w:tc>
        <w:tc>
          <w:tcPr>
            <w:tcW w:w="15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2120" w:type="dxa"/>
            <w:vAlign w:val="bottom"/>
            <w:tcBorders>
              <w:bottom w:val="single" w:sz="8" w:color="CCEEFF"/>
            </w:tcBorders>
          </w:tcPr>
          <w:p>
            <w:pPr>
              <w:spacing w:after="0"/>
              <w:rPr>
                <w:sz w:val="20"/>
                <w:szCs w:val="20"/>
                <w:color w:val="auto"/>
              </w:rPr>
            </w:pPr>
          </w:p>
        </w:tc>
        <w:tc>
          <w:tcPr>
            <w:tcW w:w="56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190"/>
        </w:trPr>
        <w:tc>
          <w:tcPr>
            <w:tcW w:w="340" w:type="dxa"/>
            <w:vAlign w:val="bottom"/>
          </w:tcPr>
          <w:p>
            <w:pPr>
              <w:spacing w:after="0"/>
              <w:rPr>
                <w:sz w:val="16"/>
                <w:szCs w:val="16"/>
                <w:color w:val="auto"/>
              </w:rPr>
            </w:pPr>
          </w:p>
        </w:tc>
        <w:tc>
          <w:tcPr>
            <w:tcW w:w="2120" w:type="dxa"/>
            <w:vAlign w:val="bottom"/>
            <w:tcBorders>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5660" w:type="dxa"/>
            <w:vAlign w:val="bottom"/>
            <w:tcBorders>
              <w:bottom w:val="single" w:sz="8" w:color="CCEEFF"/>
            </w:tcBorders>
            <w:shd w:val="clear" w:color="auto" w:fill="CCEEFF"/>
          </w:tcPr>
          <w:p>
            <w:pPr>
              <w:spacing w:after="0"/>
              <w:rPr>
                <w:sz w:val="16"/>
                <w:szCs w:val="16"/>
                <w:color w:val="auto"/>
              </w:rPr>
            </w:pPr>
          </w:p>
        </w:tc>
        <w:tc>
          <w:tcPr>
            <w:tcW w:w="142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4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6,603,266</w:t>
            </w:r>
          </w:p>
        </w:tc>
        <w:tc>
          <w:tcPr>
            <w:tcW w:w="1420" w:type="dxa"/>
            <w:vAlign w:val="bottom"/>
          </w:tcPr>
          <w:p>
            <w:pPr>
              <w:jc w:val="right"/>
              <w:spacing w:after="0"/>
              <w:rPr>
                <w:sz w:val="20"/>
                <w:szCs w:val="20"/>
                <w:color w:val="auto"/>
              </w:rPr>
            </w:pPr>
            <w:r>
              <w:rPr>
                <w:rFonts w:ascii="Arial" w:cs="Arial" w:eastAsia="Arial" w:hAnsi="Arial"/>
                <w:sz w:val="18"/>
                <w:szCs w:val="18"/>
                <w:color w:val="auto"/>
              </w:rPr>
              <w:t>6,258,584</w:t>
            </w: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Equity investment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5,527</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8,402</w:t>
            </w:r>
          </w:p>
        </w:tc>
      </w:tr>
      <w:tr>
        <w:trPr>
          <w:trHeight w:val="216"/>
        </w:trPr>
        <w:tc>
          <w:tcPr>
            <w:tcW w:w="34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8"/>
                <w:szCs w:val="18"/>
                <w:color w:val="auto"/>
              </w:rPr>
              <w:t>Allowance for expected credit losses on loans</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(139,318)</w:t>
            </w:r>
          </w:p>
        </w:tc>
        <w:tc>
          <w:tcPr>
            <w:tcW w:w="1520" w:type="dxa"/>
            <w:vAlign w:val="bottom"/>
            <w:gridSpan w:val="2"/>
          </w:tcPr>
          <w:p>
            <w:pPr>
              <w:jc w:val="right"/>
              <w:ind w:right="40"/>
              <w:spacing w:after="0"/>
              <w:rPr>
                <w:sz w:val="20"/>
                <w:szCs w:val="20"/>
                <w:color w:val="auto"/>
              </w:rPr>
            </w:pPr>
            <w:r>
              <w:rPr>
                <w:rFonts w:ascii="Arial" w:cs="Arial" w:eastAsia="Arial" w:hAnsi="Arial"/>
                <w:sz w:val="18"/>
                <w:szCs w:val="18"/>
                <w:color w:val="auto"/>
              </w:rPr>
              <w:t>(81,294)</w:t>
            </w:r>
          </w:p>
        </w:tc>
      </w:tr>
      <w:tr>
        <w:trPr>
          <w:trHeight w:val="216"/>
        </w:trPr>
        <w:tc>
          <w:tcPr>
            <w:tcW w:w="34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Allowance for expected credit losses on securities at amortized cost</w:t>
            </w:r>
          </w:p>
        </w:tc>
        <w:tc>
          <w:tcPr>
            <w:tcW w:w="16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(147)</w:t>
            </w:r>
          </w:p>
        </w:tc>
        <w:tc>
          <w:tcPr>
            <w:tcW w:w="15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(196)</w:t>
            </w:r>
          </w:p>
        </w:tc>
      </w:tr>
      <w:tr>
        <w:trPr>
          <w:trHeight w:val="216"/>
        </w:trPr>
        <w:tc>
          <w:tcPr>
            <w:tcW w:w="34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8"/>
                <w:szCs w:val="18"/>
                <w:color w:val="auto"/>
              </w:rPr>
              <w:t>Investment properties, net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2,289</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5,119</w:t>
            </w:r>
          </w:p>
        </w:tc>
      </w:tr>
      <w:tr>
        <w:trPr>
          <w:trHeight w:val="216"/>
        </w:trPr>
        <w:tc>
          <w:tcPr>
            <w:tcW w:w="34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24,232</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6,369</w:t>
            </w:r>
          </w:p>
        </w:tc>
      </w:tr>
      <w:tr>
        <w:trPr>
          <w:trHeight w:val="216"/>
        </w:trPr>
        <w:tc>
          <w:tcPr>
            <w:tcW w:w="34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8"/>
                <w:szCs w:val="18"/>
                <w:color w:val="auto"/>
              </w:rPr>
              <w:t>Intangibles, net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1,798</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5,425</w:t>
            </w:r>
          </w:p>
        </w:tc>
      </w:tr>
      <w:tr>
        <w:trPr>
          <w:trHeight w:val="216"/>
        </w:trPr>
        <w:tc>
          <w:tcPr>
            <w:tcW w:w="34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Accrued interest receivable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45,367</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30,872</w:t>
            </w:r>
          </w:p>
        </w:tc>
      </w:tr>
      <w:tr>
        <w:trPr>
          <w:trHeight w:val="216"/>
        </w:trPr>
        <w:tc>
          <w:tcPr>
            <w:tcW w:w="34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8"/>
                <w:szCs w:val="18"/>
                <w:color w:val="auto"/>
              </w:rPr>
              <w:t>Property and equipment, net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6,692</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7,420</w:t>
            </w:r>
          </w:p>
        </w:tc>
      </w:tr>
      <w:tr>
        <w:trPr>
          <w:trHeight w:val="216"/>
        </w:trPr>
        <w:tc>
          <w:tcPr>
            <w:tcW w:w="34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3,391</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13,338</w:t>
            </w:r>
          </w:p>
        </w:tc>
      </w:tr>
      <w:tr>
        <w:trPr>
          <w:trHeight w:val="230"/>
        </w:trPr>
        <w:tc>
          <w:tcPr>
            <w:tcW w:w="340" w:type="dxa"/>
            <w:vAlign w:val="bottom"/>
          </w:tcPr>
          <w:p>
            <w:pPr>
              <w:spacing w:after="0"/>
              <w:rPr>
                <w:sz w:val="19"/>
                <w:szCs w:val="19"/>
                <w:color w:val="auto"/>
              </w:rPr>
            </w:pPr>
          </w:p>
        </w:tc>
        <w:tc>
          <w:tcPr>
            <w:tcW w:w="7780" w:type="dxa"/>
            <w:vAlign w:val="bottom"/>
            <w:gridSpan w:val="2"/>
          </w:tcPr>
          <w:p>
            <w:pPr>
              <w:spacing w:after="0"/>
              <w:rPr>
                <w:sz w:val="20"/>
                <w:szCs w:val="20"/>
                <w:color w:val="auto"/>
              </w:rPr>
            </w:pPr>
            <w:r>
              <w:rPr>
                <w:rFonts w:ascii="Arial" w:cs="Arial" w:eastAsia="Arial" w:hAnsi="Arial"/>
                <w:sz w:val="18"/>
                <w:szCs w:val="18"/>
                <w:color w:val="auto"/>
              </w:rPr>
              <w:t>Other assets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7,661</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13,708</w:t>
            </w:r>
          </w:p>
        </w:tc>
      </w:tr>
      <w:tr>
        <w:trPr>
          <w:trHeight w:val="223"/>
        </w:trPr>
        <w:tc>
          <w:tcPr>
            <w:tcW w:w="340" w:type="dxa"/>
            <w:vAlign w:val="bottom"/>
          </w:tcPr>
          <w:p>
            <w:pPr>
              <w:spacing w:after="0"/>
              <w:rPr>
                <w:sz w:val="19"/>
                <w:szCs w:val="19"/>
                <w:color w:val="auto"/>
              </w:rPr>
            </w:pPr>
          </w:p>
        </w:tc>
        <w:tc>
          <w:tcPr>
            <w:tcW w:w="77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assets – condensed consolidated interim financial statement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6,560,758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6,267,747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56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ind w:left="660"/>
        <w:spacing w:after="0"/>
        <w:rPr>
          <w:sz w:val="20"/>
          <w:szCs w:val="20"/>
          <w:color w:val="auto"/>
        </w:rPr>
      </w:pPr>
      <w:r>
        <w:rPr>
          <w:rFonts w:ascii="Arial" w:cs="Arial" w:eastAsia="Arial" w:hAnsi="Arial"/>
          <w:sz w:val="16"/>
          <w:szCs w:val="16"/>
          <w:color w:val="auto"/>
        </w:rPr>
        <w:t>Level 1 – Assets or liabilities for which an identical instrument is traded in an active market, such as publicly-traded instruments or futures contracts.</w:t>
      </w:r>
    </w:p>
    <w:p>
      <w:pPr>
        <w:spacing w:after="0" w:line="248" w:lineRule="exact"/>
        <w:rPr>
          <w:sz w:val="20"/>
          <w:szCs w:val="20"/>
          <w:color w:val="auto"/>
        </w:rPr>
      </w:pPr>
    </w:p>
    <w:p>
      <w:pPr>
        <w:jc w:val="both"/>
        <w:ind w:left="66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jc w:val="both"/>
        <w:ind w:left="660"/>
        <w:spacing w:after="0" w:line="264" w:lineRule="auto"/>
        <w:rPr>
          <w:sz w:val="20"/>
          <w:szCs w:val="20"/>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Financial instruments at FVTPL and FVOCI</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Derivative financial instruments</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3"/>
          </w:tcPr>
          <w:p>
            <w:pPr>
              <w:ind w:left="420"/>
              <w:spacing w:after="0"/>
              <w:rPr>
                <w:sz w:val="20"/>
                <w:szCs w:val="20"/>
                <w:color w:val="auto"/>
              </w:rPr>
            </w:pPr>
            <w:r>
              <w:rPr>
                <w:rFonts w:ascii="Arial" w:cs="Arial" w:eastAsia="Arial" w:hAnsi="Arial"/>
                <w:sz w:val="18"/>
                <w:szCs w:val="18"/>
                <w:b w:val="1"/>
                <w:bCs w:val="1"/>
                <w:color w:val="auto"/>
              </w:rPr>
              <w:t>September 30, 2018</w:t>
            </w: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50"/>
        </w:trPr>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8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80" w:type="dxa"/>
            <w:vAlign w:val="bottom"/>
          </w:tcPr>
          <w:p>
            <w:pPr>
              <w:spacing w:after="0"/>
              <w:rPr>
                <w:sz w:val="21"/>
                <w:szCs w:val="21"/>
                <w:color w:val="auto"/>
              </w:rPr>
            </w:pPr>
          </w:p>
        </w:tc>
        <w:tc>
          <w:tcPr>
            <w:tcW w:w="1340" w:type="dxa"/>
            <w:vAlign w:val="bottom"/>
            <w:gridSpan w:val="2"/>
          </w:tcPr>
          <w:p>
            <w:pPr>
              <w:jc w:val="right"/>
              <w:ind w:right="42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300" w:type="dxa"/>
            <w:vAlign w:val="bottom"/>
            <w:gridSpan w:val="2"/>
          </w:tcPr>
          <w:p>
            <w:pPr>
              <w:jc w:val="right"/>
              <w:ind w:right="38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960" w:type="dxa"/>
            <w:vAlign w:val="bottom"/>
          </w:tcPr>
          <w:p>
            <w:pPr>
              <w:ind w:left="180"/>
              <w:spacing w:after="0" w:line="251" w:lineRule="exact"/>
              <w:rPr>
                <w:sz w:val="20"/>
                <w:szCs w:val="20"/>
                <w:color w:val="auto"/>
              </w:rPr>
            </w:pPr>
            <w:r>
              <w:rPr>
                <w:rFonts w:ascii="Arial" w:cs="Arial" w:eastAsia="Arial" w:hAnsi="Arial"/>
                <w:sz w:val="18"/>
                <w:szCs w:val="18"/>
                <w:b w:val="1"/>
                <w:bCs w:val="1"/>
                <w:color w:val="auto"/>
                <w:w w:val="89"/>
              </w:rPr>
              <w:t>Level 3</w:t>
            </w:r>
            <w:r>
              <w:rPr>
                <w:rFonts w:ascii="Arial" w:cs="Arial" w:eastAsia="Arial" w:hAnsi="Arial"/>
                <w:sz w:val="29"/>
                <w:szCs w:val="29"/>
                <w:b w:val="1"/>
                <w:bCs w:val="1"/>
                <w:color w:val="auto"/>
                <w:w w:val="89"/>
                <w:vertAlign w:val="superscript"/>
              </w:rPr>
              <w:t>(c)</w:t>
            </w:r>
          </w:p>
        </w:tc>
        <w:tc>
          <w:tcPr>
            <w:tcW w:w="1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5340" w:type="dxa"/>
            <w:vAlign w:val="bottom"/>
            <w:tcBorders>
              <w:top w:val="single" w:sz="8" w:color="CCEEFF"/>
              <w:bottom w:val="single" w:sz="8" w:color="CCEEFF"/>
            </w:tcBorders>
            <w:gridSpan w:val="5"/>
            <w:shd w:val="clear" w:color="auto" w:fill="CCEEFF"/>
          </w:tcPr>
          <w:p>
            <w:pPr>
              <w:spacing w:after="0"/>
              <w:rPr>
                <w:sz w:val="16"/>
                <w:szCs w:val="16"/>
                <w:color w:val="auto"/>
              </w:rPr>
            </w:pPr>
          </w:p>
        </w:tc>
        <w:tc>
          <w:tcPr>
            <w:tcW w:w="1100" w:type="dxa"/>
            <w:vAlign w:val="bottom"/>
            <w:tcBorders>
              <w:top w:val="single" w:sz="8" w:color="auto"/>
              <w:bottom w:val="single" w:sz="8" w:color="CCEEFF"/>
            </w:tcBorders>
            <w:shd w:val="clear" w:color="auto" w:fill="CCEEFF"/>
          </w:tcPr>
          <w:p>
            <w:pPr>
              <w:spacing w:after="0"/>
              <w:rPr>
                <w:sz w:val="16"/>
                <w:szCs w:val="16"/>
                <w:color w:val="auto"/>
              </w:rPr>
            </w:pPr>
          </w:p>
        </w:tc>
        <w:tc>
          <w:tcPr>
            <w:tcW w:w="24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176"/>
        </w:trPr>
        <w:tc>
          <w:tcPr>
            <w:tcW w:w="5820" w:type="dxa"/>
            <w:vAlign w:val="bottom"/>
            <w:gridSpan w:val="6"/>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1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Equity investments</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5,527</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5,527</w:t>
            </w:r>
          </w:p>
        </w:tc>
      </w:tr>
      <w:tr>
        <w:trPr>
          <w:trHeight w:val="270"/>
        </w:trPr>
        <w:tc>
          <w:tcPr>
            <w:tcW w:w="5820" w:type="dxa"/>
            <w:vAlign w:val="bottom"/>
            <w:gridSpan w:val="6"/>
          </w:tcPr>
          <w:p>
            <w:pPr>
              <w:ind w:left="160"/>
              <w:spacing w:after="0" w:line="269" w:lineRule="exact"/>
              <w:rPr>
                <w:sz w:val="20"/>
                <w:szCs w:val="20"/>
                <w:color w:val="auto"/>
              </w:rPr>
            </w:pPr>
            <w:r>
              <w:rPr>
                <w:rFonts w:ascii="Arial" w:cs="Arial" w:eastAsia="Arial" w:hAnsi="Arial"/>
                <w:sz w:val="18"/>
                <w:szCs w:val="18"/>
                <w:color w:val="auto"/>
              </w:rPr>
              <w:t xml:space="preserve">Sovereign debt </w:t>
            </w:r>
            <w:r>
              <w:rPr>
                <w:rFonts w:ascii="Arial" w:cs="Arial" w:eastAsia="Arial" w:hAnsi="Arial"/>
                <w:sz w:val="30"/>
                <w:szCs w:val="30"/>
                <w:color w:val="auto"/>
                <w:vertAlign w:val="superscript"/>
              </w:rPr>
              <w:t>(1)</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15,444</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3"/>
                <w:szCs w:val="23"/>
                <w:color w:val="auto"/>
              </w:rPr>
            </w:pPr>
          </w:p>
        </w:tc>
        <w:tc>
          <w:tcPr>
            <w:tcW w:w="960" w:type="dxa"/>
            <w:vAlign w:val="bottom"/>
          </w:tcPr>
          <w:p>
            <w:pPr>
              <w:spacing w:after="0"/>
              <w:rPr>
                <w:sz w:val="23"/>
                <w:szCs w:val="23"/>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15,444</w:t>
            </w:r>
          </w:p>
        </w:tc>
      </w:tr>
      <w:tr>
        <w:trPr>
          <w:trHeight w:val="210"/>
        </w:trPr>
        <w:tc>
          <w:tcPr>
            <w:tcW w:w="582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20,971</w:t>
            </w:r>
          </w:p>
        </w:tc>
        <w:tc>
          <w:tcPr>
            <w:tcW w:w="2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20,971</w:t>
            </w:r>
          </w:p>
        </w:tc>
        <w:tc>
          <w:tcPr>
            <w:tcW w:w="100" w:type="dxa"/>
            <w:vAlign w:val="bottom"/>
            <w:tcBorders>
              <w:top w:val="single" w:sz="8" w:color="CCEEFF"/>
            </w:tcBorders>
            <w:shd w:val="clear" w:color="auto" w:fill="CCEEFF"/>
          </w:tcPr>
          <w:p>
            <w:pPr>
              <w:spacing w:after="0"/>
              <w:rPr>
                <w:sz w:val="18"/>
                <w:szCs w:val="18"/>
                <w:color w:val="auto"/>
              </w:rPr>
            </w:pPr>
          </w:p>
        </w:tc>
      </w:tr>
      <w:tr>
        <w:trPr>
          <w:trHeight w:val="169"/>
        </w:trPr>
        <w:tc>
          <w:tcPr>
            <w:tcW w:w="5820" w:type="dxa"/>
            <w:vAlign w:val="bottom"/>
            <w:gridSpan w:val="6"/>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1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1,930</w:t>
            </w:r>
          </w:p>
        </w:tc>
        <w:tc>
          <w:tcPr>
            <w:tcW w:w="9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1,930</w:t>
            </w:r>
          </w:p>
        </w:tc>
      </w:tr>
      <w:tr>
        <w:trPr>
          <w:trHeight w:val="216"/>
        </w:trPr>
        <w:tc>
          <w:tcPr>
            <w:tcW w:w="582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518</w:t>
            </w:r>
          </w:p>
        </w:tc>
        <w:tc>
          <w:tcPr>
            <w:tcW w:w="960" w:type="dxa"/>
            <w:vAlign w:val="bottom"/>
          </w:tcPr>
          <w:p>
            <w:pPr>
              <w:spacing w:after="0"/>
              <w:rPr>
                <w:sz w:val="18"/>
                <w:szCs w:val="18"/>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518</w:t>
            </w:r>
          </w:p>
        </w:tc>
      </w:tr>
      <w:tr>
        <w:trPr>
          <w:trHeight w:val="230"/>
        </w:trPr>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943</w:t>
            </w:r>
          </w:p>
        </w:tc>
        <w:tc>
          <w:tcPr>
            <w:tcW w:w="9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943</w:t>
            </w:r>
          </w:p>
        </w:tc>
      </w:tr>
      <w:tr>
        <w:trPr>
          <w:trHeight w:val="210"/>
        </w:trPr>
        <w:tc>
          <w:tcPr>
            <w:tcW w:w="582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3,391</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3,391</w:t>
            </w:r>
          </w:p>
        </w:tc>
        <w:tc>
          <w:tcPr>
            <w:tcW w:w="100" w:type="dxa"/>
            <w:vAlign w:val="bottom"/>
            <w:tcBorders>
              <w:bottom w:val="single" w:sz="8" w:color="CCEEFF"/>
            </w:tcBorders>
          </w:tcPr>
          <w:p>
            <w:pPr>
              <w:spacing w:after="0"/>
              <w:rPr>
                <w:sz w:val="18"/>
                <w:szCs w:val="18"/>
                <w:color w:val="auto"/>
              </w:rPr>
            </w:pPr>
          </w:p>
        </w:tc>
      </w:tr>
      <w:tr>
        <w:trPr>
          <w:trHeight w:val="223"/>
        </w:trPr>
        <w:tc>
          <w:tcPr>
            <w:tcW w:w="582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20,971</w:t>
            </w:r>
          </w:p>
        </w:tc>
        <w:tc>
          <w:tcPr>
            <w:tcW w:w="24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3,391</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24,362</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76"/>
        </w:trPr>
        <w:tc>
          <w:tcPr>
            <w:tcW w:w="5820" w:type="dxa"/>
            <w:vAlign w:val="bottom"/>
            <w:gridSpan w:val="6"/>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1860" w:type="dxa"/>
            <w:vAlign w:val="bottom"/>
            <w:tcBorders>
              <w:top w:val="single" w:sz="8" w:color="CCEEFF"/>
            </w:tcBorders>
            <w:shd w:val="clear" w:color="auto" w:fill="CCEEFF"/>
          </w:tcPr>
          <w:p>
            <w:pPr>
              <w:spacing w:after="0" w:line="20" w:lineRule="exact"/>
              <w:rPr>
                <w:sz w:val="1"/>
                <w:szCs w:val="1"/>
                <w:color w:val="auto"/>
              </w:rPr>
            </w:pPr>
          </w:p>
        </w:tc>
        <w:tc>
          <w:tcPr>
            <w:tcW w:w="17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80" w:type="dxa"/>
            <w:vAlign w:val="bottom"/>
            <w:tcBorders>
              <w:top w:val="single" w:sz="8" w:color="CCEEFF"/>
            </w:tcBorders>
            <w:shd w:val="clear" w:color="auto" w:fill="CCEEFF"/>
          </w:tcPr>
          <w:p>
            <w:pPr>
              <w:spacing w:after="0" w:line="20" w:lineRule="exact"/>
              <w:rPr>
                <w:sz w:val="1"/>
                <w:szCs w:val="1"/>
                <w:color w:val="auto"/>
              </w:rPr>
            </w:pPr>
          </w:p>
        </w:tc>
        <w:tc>
          <w:tcPr>
            <w:tcW w:w="1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9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176"/>
        </w:trPr>
        <w:tc>
          <w:tcPr>
            <w:tcW w:w="5820" w:type="dxa"/>
            <w:vAlign w:val="bottom"/>
            <w:gridSpan w:val="6"/>
          </w:tcPr>
          <w:p>
            <w:pPr>
              <w:spacing w:after="0" w:line="176" w:lineRule="exact"/>
              <w:rPr>
                <w:sz w:val="20"/>
                <w:szCs w:val="20"/>
                <w:color w:val="auto"/>
              </w:rPr>
            </w:pPr>
            <w:r>
              <w:rPr>
                <w:rFonts w:ascii="Arial" w:cs="Arial" w:eastAsia="Arial" w:hAnsi="Arial"/>
                <w:sz w:val="18"/>
                <w:szCs w:val="18"/>
                <w:color w:val="auto"/>
              </w:rPr>
              <w:t>Derivative financial instruments used for hedging – payable:</w:t>
            </w:r>
          </w:p>
        </w:tc>
        <w:tc>
          <w:tcPr>
            <w:tcW w:w="1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8,049</w:t>
            </w:r>
          </w:p>
        </w:tc>
        <w:tc>
          <w:tcPr>
            <w:tcW w:w="9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8,049</w:t>
            </w:r>
          </w:p>
        </w:tc>
      </w:tr>
      <w:tr>
        <w:trPr>
          <w:trHeight w:val="216"/>
        </w:trPr>
        <w:tc>
          <w:tcPr>
            <w:tcW w:w="582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14,333</w:t>
            </w:r>
          </w:p>
        </w:tc>
        <w:tc>
          <w:tcPr>
            <w:tcW w:w="960" w:type="dxa"/>
            <w:vAlign w:val="bottom"/>
          </w:tcPr>
          <w:p>
            <w:pPr>
              <w:spacing w:after="0"/>
              <w:rPr>
                <w:sz w:val="18"/>
                <w:szCs w:val="18"/>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14,333</w:t>
            </w:r>
          </w:p>
        </w:tc>
      </w:tr>
      <w:tr>
        <w:trPr>
          <w:trHeight w:val="230"/>
        </w:trPr>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4,012</w:t>
            </w:r>
          </w:p>
        </w:tc>
        <w:tc>
          <w:tcPr>
            <w:tcW w:w="9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4,012</w:t>
            </w:r>
          </w:p>
        </w:tc>
      </w:tr>
      <w:tr>
        <w:trPr>
          <w:trHeight w:val="210"/>
        </w:trPr>
        <w:tc>
          <w:tcPr>
            <w:tcW w:w="582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26,394</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26,394</w:t>
            </w:r>
          </w:p>
        </w:tc>
        <w:tc>
          <w:tcPr>
            <w:tcW w:w="100" w:type="dxa"/>
            <w:vAlign w:val="bottom"/>
            <w:tcBorders>
              <w:bottom w:val="single" w:sz="8" w:color="CCEEFF"/>
            </w:tcBorders>
          </w:tcPr>
          <w:p>
            <w:pPr>
              <w:spacing w:after="0"/>
              <w:rPr>
                <w:sz w:val="18"/>
                <w:szCs w:val="18"/>
                <w:color w:val="auto"/>
              </w:rPr>
            </w:pPr>
          </w:p>
        </w:tc>
      </w:tr>
      <w:tr>
        <w:trPr>
          <w:trHeight w:val="223"/>
        </w:trPr>
        <w:tc>
          <w:tcPr>
            <w:tcW w:w="582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26,394</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26,394</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77"/>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77"/>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77"/>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160" w:type="dxa"/>
            <w:vAlign w:val="bottom"/>
            <w:gridSpan w:val="7"/>
          </w:tcPr>
          <w:p>
            <w:pPr>
              <w:spacing w:after="0"/>
              <w:rPr>
                <w:sz w:val="20"/>
                <w:szCs w:val="20"/>
                <w:color w:val="auto"/>
              </w:rPr>
            </w:pPr>
            <w:r>
              <w:rPr>
                <w:rFonts w:ascii="Arial" w:cs="Arial" w:eastAsia="Arial" w:hAnsi="Arial"/>
                <w:sz w:val="18"/>
                <w:szCs w:val="18"/>
                <w:b w:val="1"/>
                <w:bCs w:val="1"/>
                <w:color w:val="auto"/>
              </w:rPr>
              <w:t>18. Fair value of financial instruments (continued)</w:t>
            </w:r>
          </w:p>
        </w:tc>
        <w:tc>
          <w:tcPr>
            <w:tcW w:w="1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3"/>
          </w:tcPr>
          <w:p>
            <w:pPr>
              <w:ind w:left="440"/>
              <w:spacing w:after="0"/>
              <w:rPr>
                <w:sz w:val="20"/>
                <w:szCs w:val="20"/>
                <w:color w:val="auto"/>
              </w:rPr>
            </w:pPr>
            <w:r>
              <w:rPr>
                <w:rFonts w:ascii="Arial" w:cs="Arial" w:eastAsia="Arial" w:hAnsi="Arial"/>
                <w:sz w:val="18"/>
                <w:szCs w:val="18"/>
                <w:b w:val="1"/>
                <w:bCs w:val="1"/>
                <w:color w:val="auto"/>
              </w:rPr>
              <w:t>December 31, 2017</w:t>
            </w: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4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8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80" w:type="dxa"/>
            <w:vAlign w:val="bottom"/>
          </w:tcPr>
          <w:p>
            <w:pPr>
              <w:spacing w:after="0"/>
              <w:rPr>
                <w:sz w:val="21"/>
                <w:szCs w:val="21"/>
                <w:color w:val="auto"/>
              </w:rPr>
            </w:pPr>
          </w:p>
        </w:tc>
        <w:tc>
          <w:tcPr>
            <w:tcW w:w="1340" w:type="dxa"/>
            <w:vAlign w:val="bottom"/>
            <w:gridSpan w:val="2"/>
          </w:tcPr>
          <w:p>
            <w:pPr>
              <w:jc w:val="right"/>
              <w:ind w:right="42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300" w:type="dxa"/>
            <w:vAlign w:val="bottom"/>
            <w:gridSpan w:val="2"/>
          </w:tcPr>
          <w:p>
            <w:pPr>
              <w:jc w:val="right"/>
              <w:ind w:right="38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960" w:type="dxa"/>
            <w:vAlign w:val="bottom"/>
          </w:tcPr>
          <w:p>
            <w:pPr>
              <w:ind w:left="180"/>
              <w:spacing w:after="0" w:line="251" w:lineRule="exact"/>
              <w:rPr>
                <w:sz w:val="20"/>
                <w:szCs w:val="20"/>
                <w:color w:val="auto"/>
              </w:rPr>
            </w:pPr>
            <w:r>
              <w:rPr>
                <w:rFonts w:ascii="Arial" w:cs="Arial" w:eastAsia="Arial" w:hAnsi="Arial"/>
                <w:sz w:val="18"/>
                <w:szCs w:val="18"/>
                <w:b w:val="1"/>
                <w:bCs w:val="1"/>
                <w:color w:val="auto"/>
                <w:w w:val="89"/>
              </w:rPr>
              <w:t>Level 3</w:t>
            </w:r>
            <w:r>
              <w:rPr>
                <w:rFonts w:ascii="Arial" w:cs="Arial" w:eastAsia="Arial" w:hAnsi="Arial"/>
                <w:sz w:val="29"/>
                <w:szCs w:val="29"/>
                <w:b w:val="1"/>
                <w:bCs w:val="1"/>
                <w:color w:val="auto"/>
                <w:w w:val="89"/>
                <w:vertAlign w:val="superscript"/>
              </w:rPr>
              <w:t>(c)</w:t>
            </w:r>
          </w:p>
        </w:tc>
        <w:tc>
          <w:tcPr>
            <w:tcW w:w="1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5340" w:type="dxa"/>
            <w:vAlign w:val="bottom"/>
            <w:tcBorders>
              <w:top w:val="single" w:sz="8" w:color="CCEEFF"/>
              <w:bottom w:val="single" w:sz="8" w:color="CCEEFF"/>
            </w:tcBorders>
            <w:gridSpan w:val="5"/>
            <w:shd w:val="clear" w:color="auto" w:fill="CCEEFF"/>
          </w:tcPr>
          <w:p>
            <w:pPr>
              <w:spacing w:after="0"/>
              <w:rPr>
                <w:sz w:val="16"/>
                <w:szCs w:val="16"/>
                <w:color w:val="auto"/>
              </w:rPr>
            </w:pPr>
          </w:p>
        </w:tc>
        <w:tc>
          <w:tcPr>
            <w:tcW w:w="1100" w:type="dxa"/>
            <w:vAlign w:val="bottom"/>
            <w:tcBorders>
              <w:top w:val="single" w:sz="8" w:color="auto"/>
              <w:bottom w:val="single" w:sz="8" w:color="CCEEFF"/>
            </w:tcBorders>
            <w:shd w:val="clear" w:color="auto" w:fill="CCEEFF"/>
          </w:tcPr>
          <w:p>
            <w:pPr>
              <w:spacing w:after="0"/>
              <w:rPr>
                <w:sz w:val="16"/>
                <w:szCs w:val="16"/>
                <w:color w:val="auto"/>
              </w:rPr>
            </w:pPr>
          </w:p>
        </w:tc>
        <w:tc>
          <w:tcPr>
            <w:tcW w:w="24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76"/>
        </w:trPr>
        <w:tc>
          <w:tcPr>
            <w:tcW w:w="340" w:type="dxa"/>
            <w:vAlign w:val="bottom"/>
          </w:tcPr>
          <w:p>
            <w:pPr>
              <w:spacing w:after="0"/>
              <w:rPr>
                <w:sz w:val="15"/>
                <w:szCs w:val="15"/>
                <w:color w:val="auto"/>
              </w:rPr>
            </w:pPr>
          </w:p>
        </w:tc>
        <w:tc>
          <w:tcPr>
            <w:tcW w:w="5820" w:type="dxa"/>
            <w:vAlign w:val="bottom"/>
            <w:gridSpan w:val="6"/>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1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Equity investments</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8,402</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8,402</w:t>
            </w:r>
          </w:p>
        </w:tc>
        <w:tc>
          <w:tcPr>
            <w:tcW w:w="0" w:type="dxa"/>
            <w:vAlign w:val="bottom"/>
          </w:tcPr>
          <w:p>
            <w:pPr>
              <w:spacing w:after="0"/>
              <w:rPr>
                <w:sz w:val="1"/>
                <w:szCs w:val="1"/>
                <w:color w:val="auto"/>
              </w:rPr>
            </w:pPr>
          </w:p>
        </w:tc>
      </w:tr>
      <w:tr>
        <w:trPr>
          <w:trHeight w:val="270"/>
        </w:trPr>
        <w:tc>
          <w:tcPr>
            <w:tcW w:w="340" w:type="dxa"/>
            <w:vAlign w:val="bottom"/>
          </w:tcPr>
          <w:p>
            <w:pPr>
              <w:spacing w:after="0"/>
              <w:rPr>
                <w:sz w:val="23"/>
                <w:szCs w:val="23"/>
                <w:color w:val="auto"/>
              </w:rPr>
            </w:pPr>
          </w:p>
        </w:tc>
        <w:tc>
          <w:tcPr>
            <w:tcW w:w="5820" w:type="dxa"/>
            <w:vAlign w:val="bottom"/>
            <w:gridSpan w:val="6"/>
          </w:tcPr>
          <w:p>
            <w:pPr>
              <w:ind w:left="160"/>
              <w:spacing w:after="0" w:line="269" w:lineRule="exact"/>
              <w:rPr>
                <w:sz w:val="20"/>
                <w:szCs w:val="20"/>
                <w:color w:val="auto"/>
              </w:rPr>
            </w:pPr>
            <w:r>
              <w:rPr>
                <w:rFonts w:ascii="Arial" w:cs="Arial" w:eastAsia="Arial" w:hAnsi="Arial"/>
                <w:sz w:val="18"/>
                <w:szCs w:val="18"/>
                <w:color w:val="auto"/>
              </w:rPr>
              <w:t xml:space="preserve">Sovereign debt </w:t>
            </w:r>
            <w:r>
              <w:rPr>
                <w:rFonts w:ascii="Arial" w:cs="Arial" w:eastAsia="Arial" w:hAnsi="Arial"/>
                <w:sz w:val="30"/>
                <w:szCs w:val="30"/>
                <w:color w:val="auto"/>
                <w:vertAlign w:val="superscript"/>
              </w:rPr>
              <w:t>(1)</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16,733</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3"/>
                <w:szCs w:val="23"/>
                <w:color w:val="auto"/>
              </w:rPr>
            </w:pPr>
          </w:p>
        </w:tc>
        <w:tc>
          <w:tcPr>
            <w:tcW w:w="960" w:type="dxa"/>
            <w:vAlign w:val="bottom"/>
          </w:tcPr>
          <w:p>
            <w:pPr>
              <w:spacing w:after="0"/>
              <w:rPr>
                <w:sz w:val="23"/>
                <w:szCs w:val="23"/>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16,733</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82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25,135</w:t>
            </w:r>
          </w:p>
        </w:tc>
        <w:tc>
          <w:tcPr>
            <w:tcW w:w="2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5820" w:type="dxa"/>
            <w:vAlign w:val="bottom"/>
            <w:gridSpan w:val="6"/>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1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w:t>
            </w:r>
          </w:p>
        </w:tc>
        <w:tc>
          <w:tcPr>
            <w:tcW w:w="9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129</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2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4,550</w:t>
            </w:r>
          </w:p>
        </w:tc>
        <w:tc>
          <w:tcPr>
            <w:tcW w:w="960" w:type="dxa"/>
            <w:vAlign w:val="bottom"/>
          </w:tcPr>
          <w:p>
            <w:pPr>
              <w:spacing w:after="0"/>
              <w:rPr>
                <w:sz w:val="18"/>
                <w:szCs w:val="18"/>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4,550</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8,659</w:t>
            </w:r>
          </w:p>
        </w:tc>
        <w:tc>
          <w:tcPr>
            <w:tcW w:w="9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8,659</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82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13,338</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13,338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82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25,135</w:t>
            </w:r>
          </w:p>
        </w:tc>
        <w:tc>
          <w:tcPr>
            <w:tcW w:w="24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38,473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820" w:type="dxa"/>
            <w:vAlign w:val="bottom"/>
            <w:gridSpan w:val="6"/>
            <w:vMerge w:val="restart"/>
          </w:tcPr>
          <w:p>
            <w:pPr>
              <w:spacing w:after="0" w:line="196" w:lineRule="exact"/>
              <w:rPr>
                <w:sz w:val="20"/>
                <w:szCs w:val="20"/>
                <w:color w:val="auto"/>
              </w:rPr>
            </w:pPr>
            <w:r>
              <w:rPr>
                <w:rFonts w:ascii="Arial" w:cs="Arial" w:eastAsia="Arial" w:hAnsi="Arial"/>
                <w:sz w:val="18"/>
                <w:szCs w:val="18"/>
                <w:b w:val="1"/>
                <w:bCs w:val="1"/>
                <w:color w:val="auto"/>
              </w:rPr>
              <w:t>Liabilities</w:t>
            </w: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340" w:type="dxa"/>
            <w:vAlign w:val="bottom"/>
          </w:tcPr>
          <w:p>
            <w:pPr>
              <w:spacing w:after="0"/>
              <w:rPr>
                <w:sz w:val="13"/>
                <w:szCs w:val="13"/>
                <w:color w:val="auto"/>
              </w:rPr>
            </w:pPr>
          </w:p>
        </w:tc>
        <w:tc>
          <w:tcPr>
            <w:tcW w:w="5820" w:type="dxa"/>
            <w:vAlign w:val="bottom"/>
            <w:gridSpan w:val="6"/>
            <w:vMerge w:val="continue"/>
          </w:tcPr>
          <w:p>
            <w:pPr>
              <w:spacing w:after="0"/>
              <w:rPr>
                <w:sz w:val="13"/>
                <w:szCs w:val="13"/>
                <w:color w:val="auto"/>
              </w:rPr>
            </w:pPr>
          </w:p>
        </w:tc>
        <w:tc>
          <w:tcPr>
            <w:tcW w:w="1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4360" w:type="dxa"/>
            <w:vAlign w:val="bottom"/>
            <w:tcBorders>
              <w:bottom w:val="single" w:sz="8" w:color="auto"/>
            </w:tcBorders>
            <w:gridSpan w:val="4"/>
            <w:shd w:val="clear" w:color="auto" w:fill="CCEEFF"/>
          </w:tcPr>
          <w:p>
            <w:pPr>
              <w:spacing w:after="0" w:line="176" w:lineRule="exact"/>
              <w:rPr>
                <w:sz w:val="20"/>
                <w:szCs w:val="20"/>
                <w:color w:val="auto"/>
              </w:rPr>
            </w:pPr>
            <w:r>
              <w:rPr>
                <w:rFonts w:ascii="Arial" w:cs="Arial" w:eastAsia="Arial" w:hAnsi="Arial"/>
                <w:sz w:val="18"/>
                <w:szCs w:val="18"/>
                <w:color w:val="auto"/>
                <w:w w:val="91"/>
              </w:rPr>
              <w:t>Derivative financial instruments used for hedging – payable:</w:t>
            </w:r>
          </w:p>
        </w:tc>
        <w:tc>
          <w:tcPr>
            <w:tcW w:w="1460" w:type="dxa"/>
            <w:vAlign w:val="bottom"/>
            <w:tcBorders>
              <w:bottom w:val="single" w:sz="8" w:color="CCEEFF"/>
            </w:tcBorders>
            <w:gridSpan w:val="2"/>
            <w:shd w:val="clear" w:color="auto" w:fill="CCEEFF"/>
          </w:tcPr>
          <w:p>
            <w:pPr>
              <w:spacing w:after="0"/>
              <w:rPr>
                <w:sz w:val="17"/>
                <w:szCs w:val="17"/>
                <w:color w:val="auto"/>
              </w:rPr>
            </w:pPr>
          </w:p>
        </w:tc>
        <w:tc>
          <w:tcPr>
            <w:tcW w:w="1100" w:type="dxa"/>
            <w:vAlign w:val="bottom"/>
            <w:tcBorders>
              <w:bottom w:val="single" w:sz="8" w:color="CCEEFF"/>
            </w:tcBorders>
            <w:shd w:val="clear" w:color="auto" w:fill="CCEEFF"/>
          </w:tcPr>
          <w:p>
            <w:pPr>
              <w:spacing w:after="0"/>
              <w:rPr>
                <w:sz w:val="17"/>
                <w:szCs w:val="17"/>
                <w:color w:val="auto"/>
              </w:rPr>
            </w:pPr>
          </w:p>
        </w:tc>
        <w:tc>
          <w:tcPr>
            <w:tcW w:w="24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820" w:type="dxa"/>
            <w:vAlign w:val="bottom"/>
            <w:gridSpan w:val="6"/>
          </w:tcPr>
          <w:p>
            <w:pPr>
              <w:ind w:left="160"/>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4,789</w:t>
            </w:r>
          </w:p>
        </w:tc>
        <w:tc>
          <w:tcPr>
            <w:tcW w:w="960" w:type="dxa"/>
            <w:vAlign w:val="bottom"/>
          </w:tcPr>
          <w:p>
            <w:pPr>
              <w:spacing w:after="0"/>
              <w:rPr>
                <w:sz w:val="18"/>
                <w:szCs w:val="18"/>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4,789</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82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30,154</w:t>
            </w:r>
          </w:p>
        </w:tc>
        <w:tc>
          <w:tcPr>
            <w:tcW w:w="9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30,154</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82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34,943</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34,943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82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34,943</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34,943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4" w:lineRule="exact"/>
        <w:rPr>
          <w:sz w:val="20"/>
          <w:szCs w:val="20"/>
          <w:color w:val="auto"/>
        </w:rPr>
      </w:pPr>
    </w:p>
    <w:p>
      <w:pPr>
        <w:ind w:left="980" w:hanging="324"/>
        <w:spacing w:after="0"/>
        <w:tabs>
          <w:tab w:leader="none" w:pos="980" w:val="left"/>
        </w:tabs>
        <w:numPr>
          <w:ilvl w:val="0"/>
          <w:numId w:val="78"/>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78"/>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78"/>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164" w:lineRule="exact"/>
        <w:rPr>
          <w:rFonts w:ascii="Arial" w:cs="Arial" w:eastAsia="Arial" w:hAnsi="Arial"/>
          <w:sz w:val="24"/>
          <w:szCs w:val="24"/>
          <w:color w:val="auto"/>
          <w:vertAlign w:val="superscript"/>
        </w:rPr>
      </w:pPr>
    </w:p>
    <w:p>
      <w:pPr>
        <w:ind w:left="1300" w:hanging="320"/>
        <w:spacing w:after="0" w:line="215" w:lineRule="auto"/>
        <w:tabs>
          <w:tab w:leader="none" w:pos="1300" w:val="left"/>
        </w:tabs>
        <w:numPr>
          <w:ilvl w:val="1"/>
          <w:numId w:val="78"/>
        </w:numPr>
        <w:rPr>
          <w:rFonts w:ascii="Arial" w:cs="Arial" w:eastAsia="Arial" w:hAnsi="Arial"/>
          <w:sz w:val="26"/>
          <w:szCs w:val="26"/>
          <w:color w:val="222222"/>
          <w:vertAlign w:val="superscript"/>
        </w:rPr>
      </w:pPr>
      <w:r>
        <w:rPr>
          <w:rFonts w:ascii="Arial" w:cs="Arial" w:eastAsia="Arial" w:hAnsi="Arial"/>
          <w:sz w:val="16"/>
          <w:szCs w:val="16"/>
          <w:color w:val="222222"/>
        </w:rPr>
        <w:t>At December 31, 2017, securities at fair value through OCI for $2,955 were reclassified from level 2 to level 1 of the fair value hierarchy</w:t>
      </w:r>
    </w:p>
    <w:p>
      <w:pPr>
        <w:spacing w:after="0" w:line="2" w:lineRule="exact"/>
        <w:rPr>
          <w:sz w:val="20"/>
          <w:szCs w:val="20"/>
          <w:color w:val="auto"/>
        </w:rPr>
      </w:pPr>
    </w:p>
    <w:p>
      <w:pPr>
        <w:ind w:left="1300"/>
        <w:spacing w:after="0"/>
        <w:rPr>
          <w:sz w:val="20"/>
          <w:szCs w:val="20"/>
          <w:color w:val="auto"/>
        </w:rPr>
      </w:pPr>
      <w:r>
        <w:rPr>
          <w:rFonts w:ascii="Arial" w:cs="Arial" w:eastAsia="Arial" w:hAnsi="Arial"/>
          <w:sz w:val="18"/>
          <w:szCs w:val="18"/>
          <w:color w:val="222222"/>
        </w:rPr>
        <w:t>given that Bloomberg's valuation "BVAL" for these values increased from 7 (in 2016) to 10 (in 2017).</w:t>
      </w:r>
    </w:p>
    <w:p>
      <w:pPr>
        <w:spacing w:after="0" w:line="7" w:lineRule="exact"/>
        <w:rPr>
          <w:sz w:val="20"/>
          <w:szCs w:val="20"/>
          <w:color w:val="auto"/>
        </w:rPr>
      </w:pPr>
    </w:p>
    <w:p>
      <w:pPr>
        <w:ind w:left="1140"/>
        <w:spacing w:after="0"/>
        <w:rPr>
          <w:sz w:val="20"/>
          <w:szCs w:val="20"/>
          <w:color w:val="auto"/>
        </w:rPr>
      </w:pPr>
      <w:r>
        <w:rPr>
          <w:rFonts w:ascii="Arial" w:cs="Arial" w:eastAsia="Arial" w:hAnsi="Arial"/>
          <w:sz w:val="18"/>
          <w:szCs w:val="18"/>
          <w:color w:val="222222"/>
        </w:rPr>
        <w:t>.</w:t>
      </w:r>
    </w:p>
    <w:p>
      <w:pPr>
        <w:spacing w:after="0" w:line="9" w:lineRule="exact"/>
        <w:rPr>
          <w:sz w:val="20"/>
          <w:szCs w:val="20"/>
          <w:color w:val="auto"/>
        </w:rPr>
      </w:pPr>
    </w:p>
    <w:p>
      <w:pPr>
        <w:jc w:val="both"/>
        <w:ind w:left="340"/>
        <w:spacing w:after="0" w:line="277"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38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The following methods and assumptions were used by the Bank’s management in estimating the fair values of financial instruments whose fair value is not measured on a recurring basis: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Securities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1and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fair value of short and long-term borrowings and debt is estimated using discounted cash flow analysis based on the current incremental borrowing rates for similar types of borrowing arrangements, considering the changes in the Bank’s credit margin. These liabilities are classified in Level 2.</w:t>
      </w:r>
    </w:p>
    <w:p>
      <w:pPr>
        <w:spacing w:after="0" w:line="34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0"/>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460" w:type="dxa"/>
            <w:vAlign w:val="bottom"/>
            <w:tcBorders>
              <w:bottom w:val="single" w:sz="8" w:color="auto"/>
            </w:tcBorders>
            <w:gridSpan w:val="5"/>
          </w:tcPr>
          <w:p>
            <w:pPr>
              <w:jc w:val="center"/>
              <w:ind w:left="770"/>
              <w:spacing w:after="0"/>
              <w:rPr>
                <w:sz w:val="20"/>
                <w:szCs w:val="20"/>
                <w:color w:val="auto"/>
              </w:rPr>
            </w:pPr>
            <w:r>
              <w:rPr>
                <w:rFonts w:ascii="Arial" w:cs="Arial" w:eastAsia="Arial" w:hAnsi="Arial"/>
                <w:sz w:val="18"/>
                <w:szCs w:val="18"/>
                <w:b w:val="1"/>
                <w:bCs w:val="1"/>
                <w:color w:val="auto"/>
                <w:w w:val="90"/>
              </w:rPr>
              <w:t>September 30, 2018</w:t>
            </w:r>
          </w:p>
        </w:tc>
        <w:tc>
          <w:tcPr>
            <w:tcW w:w="9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3560" w:type="dxa"/>
            <w:vAlign w:val="bottom"/>
          </w:tcPr>
          <w:p>
            <w:pPr>
              <w:spacing w:after="0"/>
              <w:rPr>
                <w:sz w:val="16"/>
                <w:szCs w:val="16"/>
                <w:color w:val="auto"/>
              </w:rPr>
            </w:pPr>
          </w:p>
        </w:tc>
        <w:tc>
          <w:tcPr>
            <w:tcW w:w="12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7"/>
              </w:rPr>
              <w:t>Carrying</w:t>
            </w: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6"/>
              </w:rPr>
              <w:t>Fair</w:t>
            </w:r>
          </w:p>
        </w:tc>
        <w:tc>
          <w:tcPr>
            <w:tcW w:w="1260" w:type="dxa"/>
            <w:vAlign w:val="bottom"/>
            <w:gridSpan w:val="3"/>
            <w:vMerge w:val="restart"/>
          </w:tcPr>
          <w:p>
            <w:pPr>
              <w:ind w:left="120"/>
              <w:spacing w:after="0"/>
              <w:rPr>
                <w:sz w:val="20"/>
                <w:szCs w:val="20"/>
                <w:color w:val="auto"/>
              </w:rPr>
            </w:pPr>
            <w:r>
              <w:rPr>
                <w:rFonts w:ascii="Arial" w:cs="Arial" w:eastAsia="Arial" w:hAnsi="Arial"/>
                <w:sz w:val="18"/>
                <w:szCs w:val="18"/>
                <w:b w:val="1"/>
                <w:bCs w:val="1"/>
                <w:color w:val="auto"/>
              </w:rPr>
              <w:t>Level 1</w:t>
            </w:r>
            <w:r>
              <w:rPr>
                <w:rFonts w:ascii="Arial" w:cs="Arial" w:eastAsia="Arial" w:hAnsi="Arial"/>
                <w:sz w:val="30"/>
                <w:szCs w:val="30"/>
                <w:b w:val="1"/>
                <w:bCs w:val="1"/>
                <w:color w:val="auto"/>
                <w:vertAlign w:val="superscript"/>
              </w:rPr>
              <w:t>(a)</w:t>
            </w:r>
          </w:p>
        </w:tc>
        <w:tc>
          <w:tcPr>
            <w:tcW w:w="1120" w:type="dxa"/>
            <w:vAlign w:val="bottom"/>
            <w:gridSpan w:val="2"/>
            <w:vMerge w:val="restart"/>
          </w:tcPr>
          <w:p>
            <w:pPr>
              <w:jc w:val="right"/>
              <w:ind w:right="320"/>
              <w:spacing w:after="0"/>
              <w:rPr>
                <w:sz w:val="20"/>
                <w:szCs w:val="20"/>
                <w:color w:val="auto"/>
              </w:rPr>
            </w:pPr>
            <w:r>
              <w:rPr>
                <w:rFonts w:ascii="Arial" w:cs="Arial" w:eastAsia="Arial" w:hAnsi="Arial"/>
                <w:sz w:val="18"/>
                <w:szCs w:val="18"/>
                <w:b w:val="1"/>
                <w:bCs w:val="1"/>
                <w:color w:val="auto"/>
                <w:w w:val="90"/>
              </w:rPr>
              <w:t>Level 2</w:t>
            </w:r>
            <w:r>
              <w:rPr>
                <w:rFonts w:ascii="Arial" w:cs="Arial" w:eastAsia="Arial" w:hAnsi="Arial"/>
                <w:sz w:val="30"/>
                <w:szCs w:val="30"/>
                <w:b w:val="1"/>
                <w:bCs w:val="1"/>
                <w:color w:val="auto"/>
                <w:w w:val="90"/>
                <w:vertAlign w:val="superscript"/>
              </w:rPr>
              <w:t>(b)</w:t>
            </w:r>
          </w:p>
        </w:tc>
        <w:tc>
          <w:tcPr>
            <w:tcW w:w="1080" w:type="dxa"/>
            <w:vAlign w:val="bottom"/>
            <w:gridSpan w:val="2"/>
            <w:vMerge w:val="restart"/>
          </w:tcPr>
          <w:p>
            <w:pPr>
              <w:ind w:left="14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value</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value</w:t>
            </w:r>
          </w:p>
        </w:tc>
        <w:tc>
          <w:tcPr>
            <w:tcW w:w="1260" w:type="dxa"/>
            <w:vAlign w:val="bottom"/>
            <w:gridSpan w:val="3"/>
            <w:vMerge w:val="continue"/>
          </w:tcPr>
          <w:p>
            <w:pPr>
              <w:spacing w:after="0"/>
              <w:rPr>
                <w:sz w:val="20"/>
                <w:szCs w:val="20"/>
                <w:color w:val="auto"/>
              </w:rPr>
            </w:pPr>
          </w:p>
        </w:tc>
        <w:tc>
          <w:tcPr>
            <w:tcW w:w="1120" w:type="dxa"/>
            <w:vAlign w:val="bottom"/>
            <w:gridSpan w:val="2"/>
            <w:vMerge w:val="continue"/>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3840" w:type="dxa"/>
            <w:vAlign w:val="bottom"/>
            <w:tcBorders>
              <w:top w:val="single" w:sz="8" w:color="CCEEFF"/>
              <w:bottom w:val="single" w:sz="8" w:color="CCEEFF"/>
            </w:tcBorders>
            <w:gridSpan w:val="3"/>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40" w:type="dxa"/>
            <w:vAlign w:val="bottom"/>
            <w:tcBorders>
              <w:top w:val="single" w:sz="8" w:color="CCEEFF"/>
              <w:bottom w:val="single" w:sz="8" w:color="CCEEFF"/>
            </w:tcBorders>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auto"/>
              <w:bottom w:val="single" w:sz="8" w:color="CCEEFF"/>
            </w:tcBorders>
            <w:shd w:val="clear" w:color="auto" w:fill="CCEEFF"/>
          </w:tcPr>
          <w:p>
            <w:pPr>
              <w:spacing w:after="0"/>
              <w:rPr>
                <w:sz w:val="16"/>
                <w:szCs w:val="16"/>
                <w:color w:val="auto"/>
              </w:rPr>
            </w:pPr>
          </w:p>
        </w:tc>
        <w:tc>
          <w:tcPr>
            <w:tcW w:w="9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40" w:type="dxa"/>
            <w:vAlign w:val="bottom"/>
            <w:gridSpan w:val="5"/>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Cash and deposits on banks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792,952</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792,952</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792,952</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4"/>
          </w:tcPr>
          <w:p>
            <w:pPr>
              <w:ind w:left="120"/>
              <w:spacing w:after="0"/>
              <w:rPr>
                <w:sz w:val="20"/>
                <w:szCs w:val="20"/>
                <w:color w:val="auto"/>
              </w:rPr>
            </w:pPr>
            <w:r>
              <w:rPr>
                <w:rFonts w:ascii="Arial" w:cs="Arial" w:eastAsia="Arial" w:hAnsi="Arial"/>
                <w:sz w:val="18"/>
                <w:szCs w:val="18"/>
                <w:color w:val="auto"/>
              </w:rPr>
              <w:t>Acceptances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24,232</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24,232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24,232</w:t>
            </w: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Interest receivable</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45,367</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45,367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45,367</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040" w:type="dxa"/>
            <w:vAlign w:val="bottom"/>
            <w:gridSpan w:val="5"/>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77,562</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76,712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63,915</w:t>
            </w:r>
          </w:p>
        </w:tc>
        <w:tc>
          <w:tcPr>
            <w:tcW w:w="60" w:type="dxa"/>
            <w:vAlign w:val="bottom"/>
          </w:tcPr>
          <w:p>
            <w:pPr>
              <w:spacing w:after="0"/>
              <w:rPr>
                <w:sz w:val="22"/>
                <w:szCs w:val="22"/>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12,797</w:t>
            </w:r>
          </w:p>
        </w:tc>
        <w:tc>
          <w:tcPr>
            <w:tcW w:w="0" w:type="dxa"/>
            <w:vAlign w:val="bottom"/>
          </w:tcPr>
          <w:p>
            <w:pPr>
              <w:spacing w:after="0"/>
              <w:rPr>
                <w:sz w:val="1"/>
                <w:szCs w:val="1"/>
                <w:color w:val="auto"/>
              </w:rPr>
            </w:pPr>
          </w:p>
        </w:tc>
      </w:tr>
      <w:tr>
        <w:trPr>
          <w:trHeight w:val="257"/>
        </w:trPr>
        <w:tc>
          <w:tcPr>
            <w:tcW w:w="5040" w:type="dxa"/>
            <w:vAlign w:val="bottom"/>
            <w:gridSpan w:val="5"/>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(1)</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5,577,843</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5,850,112</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22"/>
                <w:szCs w:val="22"/>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5,850,112</w:t>
            </w:r>
          </w:p>
        </w:tc>
        <w:tc>
          <w:tcPr>
            <w:tcW w:w="22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shd w:val="clear" w:color="auto" w:fill="CCEEFF"/>
          </w:tcPr>
          <w:p>
            <w:pPr>
              <w:spacing w:after="0"/>
              <w:rPr>
                <w:sz w:val="15"/>
                <w:szCs w:val="15"/>
                <w:color w:val="auto"/>
              </w:rPr>
            </w:pPr>
          </w:p>
        </w:tc>
        <w:tc>
          <w:tcPr>
            <w:tcW w:w="5020" w:type="dxa"/>
            <w:vAlign w:val="bottom"/>
            <w:gridSpan w:val="4"/>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Financial liabilities</w:t>
            </w:r>
          </w:p>
        </w:tc>
        <w:tc>
          <w:tcPr>
            <w:tcW w:w="10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auto"/>
            </w:tcBorders>
            <w:shd w:val="clear" w:color="auto" w:fill="CCEEFF"/>
          </w:tcPr>
          <w:p>
            <w:pPr>
              <w:spacing w:after="0" w:line="20" w:lineRule="exact"/>
              <w:rPr>
                <w:sz w:val="1"/>
                <w:szCs w:val="1"/>
                <w:color w:val="auto"/>
              </w:rPr>
            </w:pPr>
          </w:p>
        </w:tc>
        <w:tc>
          <w:tcPr>
            <w:tcW w:w="260" w:type="dxa"/>
            <w:vAlign w:val="bottom"/>
            <w:tcBorders>
              <w:top w:val="single" w:sz="8" w:color="auto"/>
            </w:tcBorders>
            <w:shd w:val="clear" w:color="auto" w:fill="CCEEFF"/>
          </w:tcPr>
          <w:p>
            <w:pPr>
              <w:spacing w:after="0" w:line="20" w:lineRule="exact"/>
              <w:rPr>
                <w:sz w:val="1"/>
                <w:szCs w:val="1"/>
                <w:color w:val="auto"/>
              </w:rPr>
            </w:pPr>
          </w:p>
        </w:tc>
        <w:tc>
          <w:tcPr>
            <w:tcW w:w="20" w:type="dxa"/>
            <w:vAlign w:val="bottom"/>
            <w:tcBorders>
              <w:top w:val="single" w:sz="8" w:color="auto"/>
            </w:tcBorders>
            <w:shd w:val="clear" w:color="auto" w:fill="CCEEFF"/>
          </w:tcPr>
          <w:p>
            <w:pPr>
              <w:spacing w:after="0" w:line="20" w:lineRule="exact"/>
              <w:rPr>
                <w:sz w:val="1"/>
                <w:szCs w:val="1"/>
                <w:color w:val="auto"/>
              </w:rPr>
            </w:pPr>
          </w:p>
        </w:tc>
        <w:tc>
          <w:tcPr>
            <w:tcW w:w="3560" w:type="dxa"/>
            <w:vAlign w:val="bottom"/>
            <w:tcBorders>
              <w:top w:val="single" w:sz="8" w:color="CCEEFF"/>
            </w:tcBorders>
            <w:shd w:val="clear" w:color="auto" w:fill="CCEEFF"/>
          </w:tcPr>
          <w:p>
            <w:pPr>
              <w:spacing w:after="0" w:line="20" w:lineRule="exact"/>
              <w:rPr>
                <w:sz w:val="1"/>
                <w:szCs w:val="1"/>
                <w:color w:val="auto"/>
              </w:rPr>
            </w:pPr>
          </w:p>
        </w:tc>
        <w:tc>
          <w:tcPr>
            <w:tcW w:w="10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10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9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9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5040" w:type="dxa"/>
            <w:vAlign w:val="bottom"/>
            <w:gridSpan w:val="5"/>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Deposits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2,777,535</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2,777,535</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2,777,535</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4"/>
          </w:tcPr>
          <w:p>
            <w:pPr>
              <w:ind w:left="120"/>
              <w:spacing w:after="0"/>
              <w:rPr>
                <w:sz w:val="20"/>
                <w:szCs w:val="20"/>
                <w:color w:val="auto"/>
              </w:rPr>
            </w:pPr>
            <w:r>
              <w:rPr>
                <w:rFonts w:ascii="Arial" w:cs="Arial" w:eastAsia="Arial" w:hAnsi="Arial"/>
                <w:sz w:val="18"/>
                <w:szCs w:val="18"/>
                <w:color w:val="auto"/>
              </w:rPr>
              <w:t>Acceptances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24,232</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24,232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24,232</w:t>
            </w: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20"/>
              <w:spacing w:after="0"/>
              <w:rPr>
                <w:sz w:val="20"/>
                <w:szCs w:val="20"/>
                <w:color w:val="auto"/>
              </w:rPr>
            </w:pPr>
            <w:r>
              <w:rPr>
                <w:rFonts w:ascii="Arial" w:cs="Arial" w:eastAsia="Arial" w:hAnsi="Arial"/>
                <w:sz w:val="18"/>
                <w:szCs w:val="18"/>
                <w:color w:val="auto"/>
              </w:rPr>
              <w:t>Interest payable</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23,427</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23,427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23,427</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40" w:type="dxa"/>
            <w:vAlign w:val="bottom"/>
            <w:gridSpan w:val="5"/>
          </w:tcPr>
          <w:p>
            <w:pPr>
              <w:spacing w:after="0"/>
              <w:rPr>
                <w:sz w:val="20"/>
                <w:szCs w:val="20"/>
                <w:color w:val="auto"/>
              </w:rPr>
            </w:pPr>
            <w:r>
              <w:rPr>
                <w:rFonts w:ascii="Arial" w:cs="Arial" w:eastAsia="Arial" w:hAnsi="Arial"/>
                <w:sz w:val="18"/>
                <w:szCs w:val="18"/>
                <w:color w:val="auto"/>
              </w:rPr>
              <w:t>Short-term borrowings and debt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1,237,603</w:t>
            </w:r>
          </w:p>
        </w:tc>
        <w:tc>
          <w:tcPr>
            <w:tcW w:w="1000" w:type="dxa"/>
            <w:vAlign w:val="bottom"/>
          </w:tcPr>
          <w:p>
            <w:pPr>
              <w:jc w:val="right"/>
              <w:spacing w:after="0"/>
              <w:rPr>
                <w:sz w:val="20"/>
                <w:szCs w:val="20"/>
                <w:color w:val="auto"/>
              </w:rPr>
            </w:pPr>
            <w:r>
              <w:rPr>
                <w:rFonts w:ascii="Arial" w:cs="Arial" w:eastAsia="Arial" w:hAnsi="Arial"/>
                <w:sz w:val="18"/>
                <w:szCs w:val="18"/>
                <w:color w:val="auto"/>
              </w:rPr>
              <w:t>1,239,864</w:t>
            </w:r>
          </w:p>
        </w:tc>
        <w:tc>
          <w:tcPr>
            <w:tcW w:w="20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1,239,864</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40" w:type="dxa"/>
            <w:vAlign w:val="bottom"/>
            <w:gridSpan w:val="5"/>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1,423,952</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1,449,887</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1,449,887</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56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gridSpan w:val="5"/>
          </w:tcPr>
          <w:p>
            <w:pPr>
              <w:jc w:val="center"/>
              <w:ind w:left="770"/>
              <w:spacing w:after="0"/>
              <w:rPr>
                <w:sz w:val="20"/>
                <w:szCs w:val="20"/>
                <w:color w:val="auto"/>
              </w:rPr>
            </w:pPr>
            <w:r>
              <w:rPr>
                <w:rFonts w:ascii="Arial" w:cs="Arial" w:eastAsia="Arial" w:hAnsi="Arial"/>
                <w:sz w:val="18"/>
                <w:szCs w:val="18"/>
                <w:b w:val="1"/>
                <w:bCs w:val="1"/>
                <w:color w:val="auto"/>
                <w:w w:val="88"/>
              </w:rPr>
              <w:t>December 31, 2017</w:t>
            </w: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3560" w:type="dxa"/>
            <w:vAlign w:val="bottom"/>
          </w:tcPr>
          <w:p>
            <w:pPr>
              <w:spacing w:after="0"/>
              <w:rPr>
                <w:sz w:val="16"/>
                <w:szCs w:val="16"/>
                <w:color w:val="auto"/>
              </w:rPr>
            </w:pPr>
          </w:p>
        </w:tc>
        <w:tc>
          <w:tcPr>
            <w:tcW w:w="12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7"/>
              </w:rPr>
              <w:t>Carrying</w:t>
            </w: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6"/>
              </w:rPr>
              <w:t>Fair</w:t>
            </w:r>
          </w:p>
        </w:tc>
        <w:tc>
          <w:tcPr>
            <w:tcW w:w="1260" w:type="dxa"/>
            <w:vAlign w:val="bottom"/>
            <w:gridSpan w:val="3"/>
            <w:vMerge w:val="restart"/>
          </w:tcPr>
          <w:p>
            <w:pPr>
              <w:ind w:left="120"/>
              <w:spacing w:after="0"/>
              <w:rPr>
                <w:sz w:val="20"/>
                <w:szCs w:val="20"/>
                <w:color w:val="auto"/>
              </w:rPr>
            </w:pPr>
            <w:r>
              <w:rPr>
                <w:rFonts w:ascii="Arial" w:cs="Arial" w:eastAsia="Arial" w:hAnsi="Arial"/>
                <w:sz w:val="18"/>
                <w:szCs w:val="18"/>
                <w:b w:val="1"/>
                <w:bCs w:val="1"/>
                <w:color w:val="auto"/>
              </w:rPr>
              <w:t>Level 1</w:t>
            </w:r>
            <w:r>
              <w:rPr>
                <w:rFonts w:ascii="Arial" w:cs="Arial" w:eastAsia="Arial" w:hAnsi="Arial"/>
                <w:sz w:val="30"/>
                <w:szCs w:val="30"/>
                <w:b w:val="1"/>
                <w:bCs w:val="1"/>
                <w:color w:val="auto"/>
                <w:vertAlign w:val="superscript"/>
              </w:rPr>
              <w:t>(a)</w:t>
            </w:r>
          </w:p>
        </w:tc>
        <w:tc>
          <w:tcPr>
            <w:tcW w:w="1120" w:type="dxa"/>
            <w:vAlign w:val="bottom"/>
            <w:gridSpan w:val="2"/>
            <w:vMerge w:val="restart"/>
          </w:tcPr>
          <w:p>
            <w:pPr>
              <w:jc w:val="right"/>
              <w:ind w:right="320"/>
              <w:spacing w:after="0"/>
              <w:rPr>
                <w:sz w:val="20"/>
                <w:szCs w:val="20"/>
                <w:color w:val="auto"/>
              </w:rPr>
            </w:pPr>
            <w:r>
              <w:rPr>
                <w:rFonts w:ascii="Arial" w:cs="Arial" w:eastAsia="Arial" w:hAnsi="Arial"/>
                <w:sz w:val="18"/>
                <w:szCs w:val="18"/>
                <w:b w:val="1"/>
                <w:bCs w:val="1"/>
                <w:color w:val="auto"/>
                <w:w w:val="90"/>
              </w:rPr>
              <w:t>Level 2</w:t>
            </w:r>
            <w:r>
              <w:rPr>
                <w:rFonts w:ascii="Arial" w:cs="Arial" w:eastAsia="Arial" w:hAnsi="Arial"/>
                <w:sz w:val="30"/>
                <w:szCs w:val="30"/>
                <w:b w:val="1"/>
                <w:bCs w:val="1"/>
                <w:color w:val="auto"/>
                <w:w w:val="90"/>
                <w:vertAlign w:val="superscript"/>
              </w:rPr>
              <w:t>(b)</w:t>
            </w:r>
          </w:p>
        </w:tc>
        <w:tc>
          <w:tcPr>
            <w:tcW w:w="1080" w:type="dxa"/>
            <w:vAlign w:val="bottom"/>
            <w:gridSpan w:val="2"/>
            <w:vMerge w:val="restart"/>
          </w:tcPr>
          <w:p>
            <w:pPr>
              <w:ind w:left="14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value</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value</w:t>
            </w:r>
          </w:p>
        </w:tc>
        <w:tc>
          <w:tcPr>
            <w:tcW w:w="1260" w:type="dxa"/>
            <w:vAlign w:val="bottom"/>
            <w:gridSpan w:val="3"/>
            <w:vMerge w:val="continue"/>
          </w:tcPr>
          <w:p>
            <w:pPr>
              <w:spacing w:after="0"/>
              <w:rPr>
                <w:sz w:val="20"/>
                <w:szCs w:val="20"/>
                <w:color w:val="auto"/>
              </w:rPr>
            </w:pPr>
          </w:p>
        </w:tc>
        <w:tc>
          <w:tcPr>
            <w:tcW w:w="1120" w:type="dxa"/>
            <w:vAlign w:val="bottom"/>
            <w:gridSpan w:val="2"/>
            <w:vMerge w:val="continue"/>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3840" w:type="dxa"/>
            <w:vAlign w:val="bottom"/>
            <w:tcBorders>
              <w:top w:val="single" w:sz="8" w:color="CCEEFF"/>
              <w:bottom w:val="single" w:sz="8" w:color="CCEEFF"/>
            </w:tcBorders>
            <w:gridSpan w:val="3"/>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40" w:type="dxa"/>
            <w:vAlign w:val="bottom"/>
            <w:tcBorders>
              <w:top w:val="single" w:sz="8" w:color="CCEEFF"/>
              <w:bottom w:val="single" w:sz="8" w:color="CCEEFF"/>
            </w:tcBorders>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auto"/>
              <w:bottom w:val="single" w:sz="8" w:color="CCEEFF"/>
            </w:tcBorders>
            <w:shd w:val="clear" w:color="auto" w:fill="CCEEFF"/>
          </w:tcPr>
          <w:p>
            <w:pPr>
              <w:spacing w:after="0"/>
              <w:rPr>
                <w:sz w:val="16"/>
                <w:szCs w:val="16"/>
                <w:color w:val="auto"/>
              </w:rPr>
            </w:pPr>
          </w:p>
        </w:tc>
        <w:tc>
          <w:tcPr>
            <w:tcW w:w="9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40" w:type="dxa"/>
            <w:vAlign w:val="bottom"/>
            <w:gridSpan w:val="5"/>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40"/>
              <w:spacing w:after="0"/>
              <w:rPr>
                <w:sz w:val="20"/>
                <w:szCs w:val="20"/>
                <w:color w:val="auto"/>
              </w:rPr>
            </w:pPr>
            <w:r>
              <w:rPr>
                <w:rFonts w:ascii="Arial" w:cs="Arial" w:eastAsia="Arial" w:hAnsi="Arial"/>
                <w:sz w:val="18"/>
                <w:szCs w:val="18"/>
                <w:color w:val="auto"/>
              </w:rPr>
              <w:t>Cash and deposits on banks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672,048</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672,048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672,048</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4"/>
          </w:tcPr>
          <w:p>
            <w:pPr>
              <w:ind w:left="140"/>
              <w:spacing w:after="0"/>
              <w:rPr>
                <w:sz w:val="20"/>
                <w:szCs w:val="20"/>
                <w:color w:val="auto"/>
              </w:rPr>
            </w:pPr>
            <w:r>
              <w:rPr>
                <w:rFonts w:ascii="Arial" w:cs="Arial" w:eastAsia="Arial" w:hAnsi="Arial"/>
                <w:sz w:val="18"/>
                <w:szCs w:val="18"/>
                <w:color w:val="auto"/>
              </w:rPr>
              <w:t>Acceptances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6,369</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6,369</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6,369</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40"/>
              <w:spacing w:after="0"/>
              <w:rPr>
                <w:sz w:val="20"/>
                <w:szCs w:val="20"/>
                <w:color w:val="auto"/>
              </w:rPr>
            </w:pPr>
            <w:r>
              <w:rPr>
                <w:rFonts w:ascii="Arial" w:cs="Arial" w:eastAsia="Arial" w:hAnsi="Arial"/>
                <w:sz w:val="18"/>
                <w:szCs w:val="18"/>
                <w:color w:val="auto"/>
              </w:rPr>
              <w:t>Interest receivable</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30,872</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30,872</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30,872</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040" w:type="dxa"/>
            <w:vAlign w:val="bottom"/>
            <w:gridSpan w:val="5"/>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68,934</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69,006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50,581</w:t>
            </w:r>
          </w:p>
        </w:tc>
        <w:tc>
          <w:tcPr>
            <w:tcW w:w="60" w:type="dxa"/>
            <w:vAlign w:val="bottom"/>
          </w:tcPr>
          <w:p>
            <w:pPr>
              <w:spacing w:after="0"/>
              <w:rPr>
                <w:sz w:val="22"/>
                <w:szCs w:val="22"/>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8,447</w:t>
            </w:r>
          </w:p>
        </w:tc>
        <w:tc>
          <w:tcPr>
            <w:tcW w:w="220" w:type="dxa"/>
            <w:vAlign w:val="bottom"/>
          </w:tcPr>
          <w:p>
            <w:pPr>
              <w:spacing w:after="0"/>
              <w:rPr>
                <w:sz w:val="22"/>
                <w:szCs w:val="22"/>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9,978</w:t>
            </w:r>
          </w:p>
        </w:tc>
        <w:tc>
          <w:tcPr>
            <w:tcW w:w="0" w:type="dxa"/>
            <w:vAlign w:val="bottom"/>
          </w:tcPr>
          <w:p>
            <w:pPr>
              <w:spacing w:after="0"/>
              <w:rPr>
                <w:sz w:val="1"/>
                <w:szCs w:val="1"/>
                <w:color w:val="auto"/>
              </w:rPr>
            </w:pPr>
          </w:p>
        </w:tc>
      </w:tr>
      <w:tr>
        <w:trPr>
          <w:trHeight w:val="257"/>
        </w:trPr>
        <w:tc>
          <w:tcPr>
            <w:tcW w:w="5040" w:type="dxa"/>
            <w:vAlign w:val="bottom"/>
            <w:gridSpan w:val="5"/>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(1)</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5,419,379</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5,520,604</w:t>
            </w:r>
          </w:p>
        </w:tc>
        <w:tc>
          <w:tcPr>
            <w:tcW w:w="20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22"/>
                <w:szCs w:val="22"/>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5,520,604</w:t>
            </w:r>
          </w:p>
        </w:tc>
        <w:tc>
          <w:tcPr>
            <w:tcW w:w="22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3580" w:type="dxa"/>
            <w:vAlign w:val="bottom"/>
            <w:tcBorders>
              <w:bottom w:val="single" w:sz="8" w:color="CCEEFF"/>
            </w:tcBorders>
            <w:gridSpan w:val="2"/>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spacing w:after="0"/>
              <w:rPr>
                <w:sz w:val="17"/>
                <w:szCs w:val="17"/>
                <w:color w:val="auto"/>
              </w:rPr>
            </w:pPr>
          </w:p>
        </w:tc>
        <w:tc>
          <w:tcPr>
            <w:tcW w:w="24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40" w:type="dxa"/>
            <w:vAlign w:val="bottom"/>
            <w:gridSpan w:val="5"/>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40"/>
              <w:spacing w:after="0"/>
              <w:rPr>
                <w:sz w:val="20"/>
                <w:szCs w:val="20"/>
                <w:color w:val="auto"/>
              </w:rPr>
            </w:pPr>
            <w:r>
              <w:rPr>
                <w:rFonts w:ascii="Arial" w:cs="Arial" w:eastAsia="Arial" w:hAnsi="Arial"/>
                <w:sz w:val="18"/>
                <w:szCs w:val="18"/>
                <w:color w:val="auto"/>
              </w:rPr>
              <w:t>Deposits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2,928,844</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4"/>
          </w:tcPr>
          <w:p>
            <w:pPr>
              <w:ind w:left="140"/>
              <w:spacing w:after="0"/>
              <w:rPr>
                <w:sz w:val="20"/>
                <w:szCs w:val="20"/>
                <w:color w:val="auto"/>
              </w:rPr>
            </w:pPr>
            <w:r>
              <w:rPr>
                <w:rFonts w:ascii="Arial" w:cs="Arial" w:eastAsia="Arial" w:hAnsi="Arial"/>
                <w:sz w:val="18"/>
                <w:szCs w:val="18"/>
                <w:color w:val="auto"/>
              </w:rPr>
              <w:t>Acceptances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6,369</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6,369</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6,369</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5020" w:type="dxa"/>
            <w:vAlign w:val="bottom"/>
            <w:gridSpan w:val="4"/>
            <w:shd w:val="clear" w:color="auto" w:fill="CCEEFF"/>
          </w:tcPr>
          <w:p>
            <w:pPr>
              <w:ind w:left="140"/>
              <w:spacing w:after="0"/>
              <w:rPr>
                <w:sz w:val="20"/>
                <w:szCs w:val="20"/>
                <w:color w:val="auto"/>
              </w:rPr>
            </w:pPr>
            <w:r>
              <w:rPr>
                <w:rFonts w:ascii="Arial" w:cs="Arial" w:eastAsia="Arial" w:hAnsi="Arial"/>
                <w:sz w:val="18"/>
                <w:szCs w:val="18"/>
                <w:color w:val="auto"/>
              </w:rPr>
              <w:t>Interest payable</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15,816</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15,816</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15,816</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40" w:type="dxa"/>
            <w:vAlign w:val="bottom"/>
            <w:gridSpan w:val="5"/>
          </w:tcPr>
          <w:p>
            <w:pPr>
              <w:spacing w:after="0"/>
              <w:rPr>
                <w:sz w:val="20"/>
                <w:szCs w:val="20"/>
                <w:color w:val="auto"/>
              </w:rPr>
            </w:pPr>
            <w:r>
              <w:rPr>
                <w:rFonts w:ascii="Arial" w:cs="Arial" w:eastAsia="Arial" w:hAnsi="Arial"/>
                <w:sz w:val="18"/>
                <w:szCs w:val="18"/>
                <w:color w:val="auto"/>
              </w:rPr>
              <w:t>Short-term borrowings and debt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1,072,723</w:t>
            </w:r>
          </w:p>
        </w:tc>
        <w:tc>
          <w:tcPr>
            <w:tcW w:w="1000" w:type="dxa"/>
            <w:vAlign w:val="bottom"/>
          </w:tcPr>
          <w:p>
            <w:pPr>
              <w:jc w:val="right"/>
              <w:spacing w:after="0"/>
              <w:rPr>
                <w:sz w:val="20"/>
                <w:szCs w:val="20"/>
                <w:color w:val="auto"/>
              </w:rPr>
            </w:pPr>
            <w:r>
              <w:rPr>
                <w:rFonts w:ascii="Arial" w:cs="Arial" w:eastAsia="Arial" w:hAnsi="Arial"/>
                <w:sz w:val="18"/>
                <w:szCs w:val="18"/>
                <w:color w:val="auto"/>
              </w:rPr>
              <w:t>1,072,483</w:t>
            </w:r>
          </w:p>
        </w:tc>
        <w:tc>
          <w:tcPr>
            <w:tcW w:w="20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1,072,483</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40" w:type="dxa"/>
            <w:vAlign w:val="bottom"/>
            <w:gridSpan w:val="5"/>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1,138,844</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1,158,534</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1,158,534</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660" w:hanging="328"/>
        <w:spacing w:after="0"/>
        <w:tabs>
          <w:tab w:leader="none" w:pos="660" w:val="left"/>
        </w:tabs>
        <w:numPr>
          <w:ilvl w:val="0"/>
          <w:numId w:val="81"/>
        </w:numPr>
        <w:rPr>
          <w:rFonts w:ascii="Arial" w:cs="Arial" w:eastAsia="Arial" w:hAnsi="Arial"/>
          <w:sz w:val="18"/>
          <w:szCs w:val="18"/>
          <w:color w:val="auto"/>
        </w:rPr>
      </w:pPr>
      <w:r>
        <w:rPr>
          <w:rFonts w:ascii="Arial" w:cs="Arial" w:eastAsia="Arial" w:hAnsi="Arial"/>
          <w:sz w:val="18"/>
          <w:szCs w:val="18"/>
          <w:color w:val="auto"/>
        </w:rPr>
        <w:t>Level 1: Quoted market prices in an active market.</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81"/>
        </w:numPr>
        <w:rPr>
          <w:rFonts w:ascii="Arial" w:cs="Arial" w:eastAsia="Arial" w:hAnsi="Arial"/>
          <w:sz w:val="18"/>
          <w:szCs w:val="18"/>
          <w:color w:val="auto"/>
        </w:rPr>
      </w:pPr>
      <w:r>
        <w:rPr>
          <w:rFonts w:ascii="Arial" w:cs="Arial" w:eastAsia="Arial" w:hAnsi="Arial"/>
          <w:sz w:val="18"/>
          <w:szCs w:val="18"/>
          <w:color w:val="auto"/>
        </w:rPr>
        <w:t>Level 2: Quoted market prices in an inactive market or internally developed models with significant observable market.</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81"/>
        </w:numPr>
        <w:rPr>
          <w:rFonts w:ascii="Arial" w:cs="Arial" w:eastAsia="Arial" w:hAnsi="Arial"/>
          <w:sz w:val="18"/>
          <w:szCs w:val="18"/>
          <w:color w:val="auto"/>
        </w:rPr>
      </w:pPr>
      <w:r>
        <w:rPr>
          <w:rFonts w:ascii="Arial" w:cs="Arial" w:eastAsia="Arial" w:hAnsi="Arial"/>
          <w:sz w:val="18"/>
          <w:szCs w:val="18"/>
          <w:color w:val="auto"/>
        </w:rPr>
        <w:t>Level 3: Internally developed models with significant unobservable market information.</w:t>
      </w:r>
    </w:p>
    <w:p>
      <w:pPr>
        <w:spacing w:after="0" w:line="210" w:lineRule="exact"/>
        <w:rPr>
          <w:rFonts w:ascii="Arial" w:cs="Arial" w:eastAsia="Arial" w:hAnsi="Arial"/>
          <w:sz w:val="18"/>
          <w:szCs w:val="18"/>
          <w:color w:val="auto"/>
        </w:rPr>
      </w:pPr>
    </w:p>
    <w:p>
      <w:pPr>
        <w:jc w:val="both"/>
        <w:ind w:left="980" w:hanging="324"/>
        <w:spacing w:after="0" w:line="209" w:lineRule="auto"/>
        <w:tabs>
          <w:tab w:leader="none" w:pos="980" w:val="left"/>
        </w:tabs>
        <w:numPr>
          <w:ilvl w:val="1"/>
          <w:numId w:val="81"/>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at amortized cost is net of the allowance for expected credit losses of $139.3 million and unearned interest and deferred fees of $7.4 million for September 30, 2018; allowance for expected credit losses of $81.3 million and unearned interest and deferred fees of $5.0 million for December 31, 2017.</w:t>
      </w:r>
    </w:p>
    <w:p>
      <w:pPr>
        <w:spacing w:after="0" w:line="203" w:lineRule="exact"/>
        <w:rPr>
          <w:rFonts w:ascii="Arial" w:cs="Arial" w:eastAsia="Arial" w:hAnsi="Arial"/>
          <w:sz w:val="30"/>
          <w:szCs w:val="30"/>
          <w:b w:val="1"/>
          <w:bCs w:val="1"/>
          <w:color w:val="auto"/>
          <w:vertAlign w:val="superscript"/>
        </w:rPr>
      </w:pPr>
    </w:p>
    <w:p>
      <w:pPr>
        <w:ind w:left="980" w:hanging="324"/>
        <w:spacing w:after="0" w:line="194" w:lineRule="auto"/>
        <w:tabs>
          <w:tab w:leader="none" w:pos="980" w:val="left"/>
        </w:tabs>
        <w:numPr>
          <w:ilvl w:val="1"/>
          <w:numId w:val="81"/>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securities at amortized cost is net of the allowance for expected credit losses of $0.1 million as of September 30, 2018 and $0.2 million as of December 31, 2017.</w:t>
      </w: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During the reporting periods, total compensation paid to directors and the executives of Bladex as representatives of the Bank amounted to:</w:t>
      </w:r>
    </w:p>
    <w:p>
      <w:pPr>
        <w:spacing w:after="0" w:line="246" w:lineRule="exact"/>
        <w:rPr>
          <w:sz w:val="20"/>
          <w:szCs w:val="20"/>
          <w:color w:val="auto"/>
        </w:rPr>
      </w:pPr>
    </w:p>
    <w:p>
      <w:pPr>
        <w:ind w:left="7800"/>
        <w:spacing w:after="0"/>
        <w:rPr>
          <w:sz w:val="20"/>
          <w:szCs w:val="20"/>
          <w:color w:val="auto"/>
        </w:rPr>
      </w:pPr>
      <w:r>
        <w:rPr>
          <w:rFonts w:ascii="Arial" w:cs="Arial" w:eastAsia="Arial" w:hAnsi="Arial"/>
          <w:sz w:val="18"/>
          <w:szCs w:val="18"/>
          <w:b w:val="1"/>
          <w:bCs w:val="1"/>
          <w:color w:val="auto"/>
        </w:rPr>
        <w:t>Three months ended September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800" w:type="dxa"/>
            <w:vAlign w:val="bottom"/>
            <w:gridSpan w:val="2"/>
          </w:tcPr>
          <w:p>
            <w:pPr>
              <w:spacing w:after="0"/>
              <w:rPr>
                <w:sz w:val="19"/>
                <w:szCs w:val="19"/>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1420" w:type="dxa"/>
            <w:vAlign w:val="bottom"/>
            <w:tcBorders>
              <w:top w:val="single" w:sz="8" w:color="auto"/>
            </w:tcBorders>
            <w:gridSpan w:val="3"/>
          </w:tcPr>
          <w:p>
            <w:pPr>
              <w:jc w:val="center"/>
              <w:ind w:left="970"/>
              <w:spacing w:after="0"/>
              <w:rPr>
                <w:sz w:val="20"/>
                <w:szCs w:val="20"/>
                <w:color w:val="auto"/>
              </w:rPr>
            </w:pPr>
            <w:r>
              <w:rPr>
                <w:rFonts w:ascii="Arial" w:cs="Arial" w:eastAsia="Arial" w:hAnsi="Arial"/>
                <w:sz w:val="18"/>
                <w:szCs w:val="18"/>
                <w:b w:val="1"/>
                <w:bCs w:val="1"/>
                <w:color w:val="auto"/>
                <w:w w:val="89"/>
              </w:rPr>
              <w:t>2017</w:t>
            </w:r>
          </w:p>
        </w:tc>
        <w:tc>
          <w:tcPr>
            <w:tcW w:w="1420" w:type="dxa"/>
            <w:vAlign w:val="bottom"/>
            <w:tcBorders>
              <w:top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2016</w:t>
            </w:r>
          </w:p>
        </w:tc>
        <w:tc>
          <w:tcPr>
            <w:tcW w:w="4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169"/>
        </w:trPr>
        <w:tc>
          <w:tcPr>
            <w:tcW w:w="680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7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604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7580" w:type="dxa"/>
            <w:vAlign w:val="bottom"/>
            <w:gridSpan w:val="3"/>
          </w:tcPr>
          <w:p>
            <w:pPr>
              <w:spacing w:after="0"/>
              <w:rPr>
                <w:sz w:val="20"/>
                <w:szCs w:val="20"/>
                <w:color w:val="auto"/>
              </w:rPr>
            </w:pPr>
            <w:r>
              <w:rPr>
                <w:rFonts w:ascii="Arial" w:cs="Arial" w:eastAsia="Arial" w:hAnsi="Arial"/>
                <w:sz w:val="18"/>
                <w:szCs w:val="18"/>
                <w:color w:val="auto"/>
              </w:rPr>
              <w:t>Compensation costs paid to directors</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214</w:t>
            </w:r>
          </w:p>
        </w:tc>
        <w:tc>
          <w:tcPr>
            <w:tcW w:w="780" w:type="dxa"/>
            <w:vAlign w:val="bottom"/>
          </w:tcPr>
          <w:p>
            <w:pPr>
              <w:spacing w:after="0"/>
              <w:rPr>
                <w:sz w:val="24"/>
                <w:szCs w:val="24"/>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218</w:t>
            </w:r>
          </w:p>
        </w:tc>
        <w:tc>
          <w:tcPr>
            <w:tcW w:w="780" w:type="dxa"/>
            <w:vAlign w:val="bottom"/>
          </w:tcPr>
          <w:p>
            <w:pPr>
              <w:spacing w:after="0"/>
              <w:rPr>
                <w:sz w:val="24"/>
                <w:szCs w:val="24"/>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8"/>
                <w:szCs w:val="18"/>
                <w:color w:val="auto"/>
              </w:rPr>
              <w:t>252</w:t>
            </w:r>
          </w:p>
        </w:tc>
      </w:tr>
      <w:tr>
        <w:trPr>
          <w:trHeight w:val="197"/>
        </w:trPr>
        <w:tc>
          <w:tcPr>
            <w:tcW w:w="680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246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346</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760" w:type="dxa"/>
            <w:vAlign w:val="bottom"/>
          </w:tcPr>
          <w:p>
            <w:pPr>
              <w:spacing w:after="0"/>
              <w:rPr>
                <w:sz w:val="24"/>
                <w:szCs w:val="24"/>
                <w:color w:val="auto"/>
              </w:rPr>
            </w:pPr>
          </w:p>
        </w:tc>
        <w:tc>
          <w:tcPr>
            <w:tcW w:w="6040" w:type="dxa"/>
            <w:vAlign w:val="bottom"/>
          </w:tcPr>
          <w:p>
            <w:pPr>
              <w:spacing w:after="0"/>
              <w:rPr>
                <w:sz w:val="24"/>
                <w:szCs w:val="24"/>
                <w:color w:val="auto"/>
              </w:rPr>
            </w:pPr>
          </w:p>
        </w:tc>
        <w:tc>
          <w:tcPr>
            <w:tcW w:w="3620" w:type="dxa"/>
            <w:vAlign w:val="bottom"/>
            <w:tcBorders>
              <w:bottom w:val="single" w:sz="8" w:color="auto"/>
            </w:tcBorders>
            <w:gridSpan w:val="7"/>
          </w:tcPr>
          <w:p>
            <w:pPr>
              <w:jc w:val="center"/>
              <w:ind w:left="330"/>
              <w:spacing w:after="0"/>
              <w:rPr>
                <w:sz w:val="20"/>
                <w:szCs w:val="20"/>
                <w:color w:val="auto"/>
              </w:rPr>
            </w:pPr>
            <w:r>
              <w:rPr>
                <w:rFonts w:ascii="Arial" w:cs="Arial" w:eastAsia="Arial" w:hAnsi="Arial"/>
                <w:sz w:val="18"/>
                <w:szCs w:val="18"/>
                <w:b w:val="1"/>
                <w:bCs w:val="1"/>
                <w:color w:val="auto"/>
                <w:w w:val="89"/>
              </w:rPr>
              <w:t>Nine months ended September 30,</w:t>
            </w:r>
          </w:p>
        </w:tc>
        <w:tc>
          <w:tcPr>
            <w:tcW w:w="4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760" w:type="dxa"/>
            <w:vAlign w:val="bottom"/>
          </w:tcPr>
          <w:p>
            <w:pPr>
              <w:spacing w:after="0"/>
              <w:rPr>
                <w:sz w:val="19"/>
                <w:szCs w:val="19"/>
                <w:color w:val="auto"/>
              </w:rPr>
            </w:pPr>
          </w:p>
        </w:tc>
        <w:tc>
          <w:tcPr>
            <w:tcW w:w="604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2018</w:t>
            </w:r>
          </w:p>
        </w:tc>
        <w:tc>
          <w:tcPr>
            <w:tcW w:w="1420" w:type="dxa"/>
            <w:vAlign w:val="bottom"/>
            <w:gridSpan w:val="3"/>
          </w:tcPr>
          <w:p>
            <w:pPr>
              <w:jc w:val="center"/>
              <w:ind w:left="970"/>
              <w:spacing w:after="0"/>
              <w:rPr>
                <w:sz w:val="20"/>
                <w:szCs w:val="20"/>
                <w:color w:val="auto"/>
              </w:rPr>
            </w:pPr>
            <w:r>
              <w:rPr>
                <w:rFonts w:ascii="Arial" w:cs="Arial" w:eastAsia="Arial" w:hAnsi="Arial"/>
                <w:sz w:val="18"/>
                <w:szCs w:val="18"/>
                <w:b w:val="1"/>
                <w:bCs w:val="1"/>
                <w:color w:val="auto"/>
                <w:w w:val="89"/>
              </w:rPr>
              <w:t>2017</w:t>
            </w:r>
          </w:p>
        </w:tc>
        <w:tc>
          <w:tcPr>
            <w:tcW w:w="1420" w:type="dxa"/>
            <w:vAlign w:val="bottom"/>
            <w:gridSpan w:val="3"/>
          </w:tcPr>
          <w:p>
            <w:pPr>
              <w:jc w:val="right"/>
              <w:spacing w:after="0"/>
              <w:rPr>
                <w:sz w:val="20"/>
                <w:szCs w:val="20"/>
                <w:color w:val="auto"/>
              </w:rPr>
            </w:pPr>
            <w:r>
              <w:rPr>
                <w:rFonts w:ascii="Arial" w:cs="Arial" w:eastAsia="Arial" w:hAnsi="Arial"/>
                <w:sz w:val="18"/>
                <w:szCs w:val="18"/>
                <w:b w:val="1"/>
                <w:bCs w:val="1"/>
                <w:color w:val="auto"/>
              </w:rPr>
              <w:t>2016</w:t>
            </w:r>
          </w:p>
        </w:tc>
        <w:tc>
          <w:tcPr>
            <w:tcW w:w="4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169"/>
        </w:trPr>
        <w:tc>
          <w:tcPr>
            <w:tcW w:w="680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7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spacing w:after="0"/>
              <w:rPr>
                <w:sz w:val="14"/>
                <w:szCs w:val="14"/>
                <w:color w:val="auto"/>
              </w:rPr>
            </w:pPr>
          </w:p>
        </w:tc>
        <w:tc>
          <w:tcPr>
            <w:tcW w:w="4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604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7580" w:type="dxa"/>
            <w:vAlign w:val="bottom"/>
            <w:gridSpan w:val="3"/>
          </w:tcPr>
          <w:p>
            <w:pPr>
              <w:spacing w:after="0"/>
              <w:rPr>
                <w:sz w:val="20"/>
                <w:szCs w:val="20"/>
                <w:color w:val="auto"/>
              </w:rPr>
            </w:pPr>
            <w:r>
              <w:rPr>
                <w:rFonts w:ascii="Arial" w:cs="Arial" w:eastAsia="Arial" w:hAnsi="Arial"/>
                <w:sz w:val="18"/>
                <w:szCs w:val="18"/>
                <w:color w:val="auto"/>
              </w:rPr>
              <w:t>Compensation costs paid to directors</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425</w:t>
            </w:r>
          </w:p>
        </w:tc>
        <w:tc>
          <w:tcPr>
            <w:tcW w:w="780" w:type="dxa"/>
            <w:vAlign w:val="bottom"/>
          </w:tcPr>
          <w:p>
            <w:pPr>
              <w:spacing w:after="0"/>
              <w:rPr>
                <w:sz w:val="24"/>
                <w:szCs w:val="24"/>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441</w:t>
            </w:r>
          </w:p>
        </w:tc>
        <w:tc>
          <w:tcPr>
            <w:tcW w:w="780" w:type="dxa"/>
            <w:vAlign w:val="bottom"/>
          </w:tcPr>
          <w:p>
            <w:pPr>
              <w:spacing w:after="0"/>
              <w:rPr>
                <w:sz w:val="24"/>
                <w:szCs w:val="24"/>
                <w:color w:val="auto"/>
              </w:rPr>
            </w:pPr>
          </w:p>
        </w:tc>
        <w:tc>
          <w:tcPr>
            <w:tcW w:w="520" w:type="dxa"/>
            <w:vAlign w:val="bottom"/>
            <w:gridSpan w:val="2"/>
          </w:tcPr>
          <w:p>
            <w:pPr>
              <w:jc w:val="right"/>
              <w:ind w:right="100"/>
              <w:spacing w:after="0"/>
              <w:rPr>
                <w:sz w:val="20"/>
                <w:szCs w:val="20"/>
                <w:color w:val="auto"/>
              </w:rPr>
            </w:pPr>
            <w:r>
              <w:rPr>
                <w:rFonts w:ascii="Arial" w:cs="Arial" w:eastAsia="Arial" w:hAnsi="Arial"/>
                <w:sz w:val="18"/>
                <w:szCs w:val="18"/>
                <w:color w:val="auto"/>
              </w:rPr>
              <w:t>491</w:t>
            </w:r>
          </w:p>
        </w:tc>
      </w:tr>
      <w:tr>
        <w:trPr>
          <w:trHeight w:val="197"/>
        </w:trPr>
        <w:tc>
          <w:tcPr>
            <w:tcW w:w="680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88"/>
              </w:rPr>
              <w:t>3,960</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88"/>
              </w:rPr>
              <w:t>1,636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88"/>
              </w:rPr>
              <w:t>3,696</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Board of Directors is responsible for the overall risk management approach and for approving the risk management strategies and principles. The Board has appointed a Risk Committee which has the responsibility to monitor the overall risk process within the Bank.</w:t>
      </w:r>
    </w:p>
    <w:p>
      <w:pPr>
        <w:spacing w:after="0" w:line="170"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Executive Committee.</w:t>
      </w:r>
    </w:p>
    <w:p>
      <w:pPr>
        <w:spacing w:after="0" w:line="12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Management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rFonts w:ascii="Arial" w:cs="Arial" w:eastAsia="Arial" w:hAnsi="Arial"/>
          <w:sz w:val="18"/>
          <w:szCs w:val="18"/>
          <w:b w:val="1"/>
          <w:bCs w:val="1"/>
          <w:color w:val="auto"/>
        </w:rPr>
      </w:pPr>
    </w:p>
    <w:p>
      <w:pPr>
        <w:jc w:val="both"/>
        <w:ind w:left="34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 ‘s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3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71" w:name="page72"/>
    <w:bookmarkEnd w:id="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Risk measurement and reporting systems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6"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to analyze, control and identify risks on a timely basis. This information is presented and explained to the Board of Directors, the Risk Committee, and the head of each business division.</w:t>
      </w:r>
    </w:p>
    <w:p>
      <w:pPr>
        <w:spacing w:after="0" w:line="172" w:lineRule="exact"/>
        <w:rPr>
          <w:rFonts w:ascii="Arial" w:cs="Arial" w:eastAsia="Arial" w:hAnsi="Arial"/>
          <w:sz w:val="18"/>
          <w:szCs w:val="18"/>
          <w:b w:val="1"/>
          <w:bCs w:val="1"/>
          <w:color w:val="auto"/>
        </w:rPr>
      </w:pPr>
    </w:p>
    <w:p>
      <w:pPr>
        <w:jc w:val="both"/>
        <w:ind w:left="340"/>
        <w:spacing w:after="0" w:line="297" w:lineRule="auto"/>
        <w:rPr>
          <w:rFonts w:ascii="Arial" w:cs="Arial" w:eastAsia="Arial" w:hAnsi="Arial"/>
          <w:sz w:val="18"/>
          <w:szCs w:val="18"/>
          <w:b w:val="1"/>
          <w:bCs w:val="1"/>
          <w:color w:val="auto"/>
        </w:rPr>
      </w:pPr>
      <w:r>
        <w:rPr>
          <w:rFonts w:ascii="Arial" w:cs="Arial" w:eastAsia="Arial" w:hAnsi="Arial"/>
          <w:sz w:val="16"/>
          <w:szCs w:val="16"/>
          <w:color w:val="auto"/>
        </w:rPr>
        <w:t>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to ensure that all business divisions have access to extensive, necessary and up–to–date information.</w:t>
      </w:r>
    </w:p>
    <w:p>
      <w:pPr>
        <w:spacing w:after="0" w:line="15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Risk mitigation</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w:t>
      </w:r>
    </w:p>
    <w:p>
      <w:pPr>
        <w:spacing w:after="0" w:line="18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effectiveness of all the hedge relationships is monitored by the Risk Controlling Unit quarterly. In situations of ineffectiveness, the Bank will enter into a new hedge relationship to mitigate risk on a continuous basis.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Risk concentration</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exposure to the following risk from financial instruments:</w:t>
      </w:r>
    </w:p>
    <w:p>
      <w:pPr>
        <w:spacing w:after="0" w:line="22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Credit risk</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72" w:name="page73"/>
    <w:bookmarkEnd w:id="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5"/>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Credit risk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using a credit risk classification system, which assigns each counterparty a risk rating. Risk ratings are subject to regular revision. The credit quality review process aims to allow the Bank to assess the potential loss because of the risks to which it is exposed and take corrective action.</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Individually assessed allowances</w:t>
      </w:r>
    </w:p>
    <w:p>
      <w:pPr>
        <w:spacing w:after="0" w:line="225" w:lineRule="exact"/>
        <w:rPr>
          <w:rFonts w:ascii="Arial" w:cs="Arial" w:eastAsia="Arial" w:hAnsi="Arial"/>
          <w:sz w:val="16"/>
          <w:szCs w:val="16"/>
          <w:b w:val="1"/>
          <w:bCs w:val="1"/>
          <w:color w:val="auto"/>
        </w:rPr>
      </w:pPr>
    </w:p>
    <w:p>
      <w:pPr>
        <w:jc w:val="both"/>
        <w:ind w:left="340"/>
        <w:spacing w:after="0" w:line="297" w:lineRule="auto"/>
        <w:rPr>
          <w:rFonts w:ascii="Arial" w:cs="Arial" w:eastAsia="Arial" w:hAnsi="Arial"/>
          <w:sz w:val="16"/>
          <w:szCs w:val="16"/>
          <w:b w:val="1"/>
          <w:bCs w:val="1"/>
          <w:color w:val="auto"/>
        </w:rPr>
      </w:pPr>
      <w:r>
        <w:rPr>
          <w:rFonts w:ascii="Arial" w:cs="Arial" w:eastAsia="Arial" w:hAnsi="Arial"/>
          <w:sz w:val="16"/>
          <w:szCs w:val="16"/>
          <w:color w:val="auto"/>
        </w:rPr>
        <w:t>The Bank determines the allowances appropriate for each individually significant loan or advance on an individual basis, considering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58"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Collectively assessed allowances</w:t>
      </w:r>
    </w:p>
    <w:p>
      <w:pPr>
        <w:spacing w:after="0" w:line="225" w:lineRule="exact"/>
        <w:rPr>
          <w:rFonts w:ascii="Arial" w:cs="Arial" w:eastAsia="Arial" w:hAnsi="Arial"/>
          <w:sz w:val="16"/>
          <w:szCs w:val="16"/>
          <w:b w:val="1"/>
          <w:bCs w:val="1"/>
          <w:color w:val="auto"/>
        </w:rPr>
      </w:pPr>
    </w:p>
    <w:p>
      <w:pPr>
        <w:ind w:left="340"/>
        <w:spacing w:after="0" w:line="308" w:lineRule="auto"/>
        <w:rPr>
          <w:rFonts w:ascii="Arial" w:cs="Arial" w:eastAsia="Arial" w:hAnsi="Arial"/>
          <w:sz w:val="16"/>
          <w:szCs w:val="16"/>
          <w:b w:val="1"/>
          <w:bCs w:val="1"/>
          <w:color w:val="auto"/>
        </w:rPr>
      </w:pPr>
      <w:r>
        <w:rPr>
          <w:rFonts w:ascii="Arial" w:cs="Arial" w:eastAsia="Arial" w:hAnsi="Arial"/>
          <w:sz w:val="17"/>
          <w:szCs w:val="17"/>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w:t>
      </w:r>
    </w:p>
    <w:p>
      <w:pPr>
        <w:spacing w:after="0" w:line="146" w:lineRule="exact"/>
        <w:rPr>
          <w:rFonts w:ascii="Arial" w:cs="Arial" w:eastAsia="Arial" w:hAnsi="Arial"/>
          <w:sz w:val="16"/>
          <w:szCs w:val="16"/>
          <w:b w:val="1"/>
          <w:bCs w:val="1"/>
          <w:color w:val="auto"/>
        </w:rPr>
      </w:pPr>
    </w:p>
    <w:p>
      <w:pPr>
        <w:jc w:val="both"/>
        <w:ind w:left="340"/>
        <w:spacing w:after="0" w:line="302" w:lineRule="auto"/>
        <w:rPr>
          <w:rFonts w:ascii="Arial" w:cs="Arial" w:eastAsia="Arial" w:hAnsi="Arial"/>
          <w:sz w:val="16"/>
          <w:szCs w:val="16"/>
          <w:b w:val="1"/>
          <w:bCs w:val="1"/>
          <w:color w:val="auto"/>
        </w:rPr>
      </w:pPr>
      <w:r>
        <w:rPr>
          <w:rFonts w:ascii="Arial" w:cs="Arial" w:eastAsia="Arial" w:hAnsi="Arial"/>
          <w:sz w:val="16"/>
          <w:szCs w:val="16"/>
          <w:color w:val="auto"/>
        </w:rPr>
        <w:t>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54" w:lineRule="exact"/>
        <w:rPr>
          <w:rFonts w:ascii="Arial" w:cs="Arial" w:eastAsia="Arial" w:hAnsi="Arial"/>
          <w:sz w:val="16"/>
          <w:szCs w:val="16"/>
          <w:b w:val="1"/>
          <w:bCs w:val="1"/>
          <w:color w:val="auto"/>
        </w:rPr>
      </w:pPr>
    </w:p>
    <w:p>
      <w:pPr>
        <w:jc w:val="both"/>
        <w:ind w:left="340"/>
        <w:spacing w:after="0" w:line="272" w:lineRule="auto"/>
        <w:rPr>
          <w:rFonts w:ascii="Arial" w:cs="Arial" w:eastAsia="Arial" w:hAnsi="Arial"/>
          <w:sz w:val="16"/>
          <w:szCs w:val="16"/>
          <w:b w:val="1"/>
          <w:bCs w:val="1"/>
          <w:color w:val="auto"/>
        </w:rPr>
      </w:pPr>
      <w:r>
        <w:rPr>
          <w:rFonts w:ascii="Arial" w:cs="Arial" w:eastAsia="Arial" w:hAnsi="Arial"/>
          <w:sz w:val="17"/>
          <w:szCs w:val="17"/>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time when a loss is likely to have been incurred and the time it will be identified as requiring an individually assessed impairment allowance is also taken into consideration. The impairment allowance is then reviewed by credit management to ensure alignment with the Bank’s overall policy.</w:t>
      </w:r>
    </w:p>
    <w:p>
      <w:pPr>
        <w:spacing w:after="0" w:line="177" w:lineRule="exact"/>
        <w:rPr>
          <w:rFonts w:ascii="Arial" w:cs="Arial" w:eastAsia="Arial" w:hAnsi="Arial"/>
          <w:sz w:val="16"/>
          <w:szCs w:val="16"/>
          <w:b w:val="1"/>
          <w:bCs w:val="1"/>
          <w:color w:val="auto"/>
        </w:rPr>
      </w:pPr>
    </w:p>
    <w:p>
      <w:pPr>
        <w:ind w:left="340" w:right="4880"/>
        <w:spacing w:after="0" w:line="501" w:lineRule="auto"/>
        <w:rPr>
          <w:rFonts w:ascii="Arial" w:cs="Arial" w:eastAsia="Arial" w:hAnsi="Arial"/>
          <w:sz w:val="16"/>
          <w:szCs w:val="16"/>
          <w:b w:val="1"/>
          <w:bCs w:val="1"/>
          <w:color w:val="auto"/>
        </w:rPr>
      </w:pPr>
      <w:r>
        <w:rPr>
          <w:rFonts w:ascii="Arial" w:cs="Arial" w:eastAsia="Arial" w:hAnsi="Arial"/>
          <w:sz w:val="18"/>
          <w:szCs w:val="18"/>
          <w:color w:val="auto"/>
        </w:rPr>
        <w:t xml:space="preserve">Financial guarantees and letters of credit are assessed in a similar manner as for loans. </w:t>
      </w:r>
      <w:r>
        <w:rPr>
          <w:rFonts w:ascii="Arial" w:cs="Arial" w:eastAsia="Arial" w:hAnsi="Arial"/>
          <w:sz w:val="18"/>
          <w:szCs w:val="18"/>
          <w:u w:val="single" w:color="auto"/>
          <w:color w:val="auto"/>
        </w:rPr>
        <w:t>Derivative financial instruments</w:t>
      </w:r>
    </w:p>
    <w:p>
      <w:pPr>
        <w:jc w:val="both"/>
        <w:ind w:left="340"/>
        <w:spacing w:after="0" w:line="264" w:lineRule="auto"/>
        <w:rPr>
          <w:rFonts w:ascii="Arial" w:cs="Arial" w:eastAsia="Arial" w:hAnsi="Arial"/>
          <w:sz w:val="16"/>
          <w:szCs w:val="16"/>
          <w:b w:val="1"/>
          <w:bCs w:val="1"/>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 With gross–settled derivatives, the Bank is also exposed to a settlement risk, being the risk that the Bank honors its obligation, but the counterparty fails to deliver the counter value.</w:t>
      </w:r>
    </w:p>
    <w:p>
      <w:pPr>
        <w:spacing w:after="0" w:line="181"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Credit–related commitments risks</w:t>
      </w:r>
    </w:p>
    <w:p>
      <w:pPr>
        <w:spacing w:after="0" w:line="225"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73" w:name="page74"/>
    <w:bookmarkEnd w:id="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6"/>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Credit risk (continued)</w:t>
      </w: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Collateral and other credit enhancements</w:t>
      </w:r>
    </w:p>
    <w:p>
      <w:pPr>
        <w:spacing w:after="0" w:line="225"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1300" w:hanging="320"/>
        <w:spacing w:after="0"/>
        <w:tabs>
          <w:tab w:leader="none" w:pos="1300" w:val="left"/>
        </w:tabs>
        <w:numPr>
          <w:ilvl w:val="0"/>
          <w:numId w:val="87"/>
        </w:numPr>
        <w:rPr>
          <w:rFonts w:ascii="Arial" w:cs="Arial" w:eastAsia="Arial" w:hAnsi="Arial"/>
          <w:sz w:val="18"/>
          <w:szCs w:val="18"/>
          <w:color w:val="auto"/>
        </w:rPr>
      </w:pPr>
      <w:r>
        <w:rPr>
          <w:rFonts w:ascii="Arial" w:cs="Arial" w:eastAsia="Arial" w:hAnsi="Arial"/>
          <w:sz w:val="18"/>
          <w:szCs w:val="18"/>
          <w:color w:val="auto"/>
        </w:rPr>
        <w:t>For commercial lending, charges over real estate properties, inventory and trade receivables.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47"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1300" w:hanging="320"/>
        <w:spacing w:after="0"/>
        <w:tabs>
          <w:tab w:leader="none" w:pos="1300" w:val="left"/>
        </w:tabs>
        <w:numPr>
          <w:ilvl w:val="0"/>
          <w:numId w:val="88"/>
        </w:numPr>
        <w:rPr>
          <w:rFonts w:ascii="Arial" w:cs="Arial" w:eastAsia="Arial" w:hAnsi="Arial"/>
          <w:sz w:val="17"/>
          <w:szCs w:val="17"/>
          <w:color w:val="auto"/>
        </w:rPr>
      </w:pPr>
      <w:r>
        <w:rPr>
          <w:rFonts w:ascii="Arial" w:cs="Arial" w:eastAsia="Arial" w:hAnsi="Arial"/>
          <w:sz w:val="17"/>
          <w:szCs w:val="17"/>
          <w:color w:val="auto"/>
        </w:rPr>
        <w:t>Credit risk is eliminated only to the extent that amounts due to the same counterparty will be settled after the assets are realized.</w:t>
      </w:r>
    </w:p>
    <w:p>
      <w:pPr>
        <w:spacing w:after="0" w:line="34" w:lineRule="exact"/>
        <w:rPr>
          <w:rFonts w:ascii="Arial" w:cs="Arial" w:eastAsia="Arial" w:hAnsi="Arial"/>
          <w:sz w:val="17"/>
          <w:szCs w:val="17"/>
          <w:color w:val="auto"/>
        </w:rPr>
      </w:pPr>
    </w:p>
    <w:p>
      <w:pPr>
        <w:ind w:left="1300" w:hanging="320"/>
        <w:spacing w:after="0" w:line="261" w:lineRule="auto"/>
        <w:tabs>
          <w:tab w:leader="none" w:pos="1300" w:val="left"/>
        </w:tabs>
        <w:numPr>
          <w:ilvl w:val="0"/>
          <w:numId w:val="88"/>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Liquidity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the Liquidity Coverage Ratio is complemented with the use of the Net Stable Funding Ratio to maintain an adequate long-term funding structure</w:t>
      </w:r>
      <w:r>
        <w:rPr>
          <w:rFonts w:ascii="Arial" w:cs="Arial" w:eastAsia="Arial" w:hAnsi="Arial"/>
          <w:sz w:val="17"/>
          <w:szCs w:val="17"/>
          <w:color w:val="222222"/>
        </w:rPr>
        <w:t>.</w:t>
      </w:r>
    </w:p>
    <w:p>
      <w:pPr>
        <w:spacing w:after="0" w:line="171" w:lineRule="exact"/>
        <w:rPr>
          <w:sz w:val="20"/>
          <w:szCs w:val="20"/>
          <w:color w:val="auto"/>
        </w:rPr>
      </w:pPr>
    </w:p>
    <w:p>
      <w:pPr>
        <w:jc w:val="both"/>
        <w:ind w:left="340" w:right="20"/>
        <w:spacing w:after="0" w:line="264" w:lineRule="auto"/>
        <w:rPr>
          <w:sz w:val="20"/>
          <w:szCs w:val="20"/>
          <w:color w:val="auto"/>
        </w:rPr>
      </w:pPr>
      <w:r>
        <w:rPr>
          <w:rFonts w:ascii="Arial" w:cs="Arial" w:eastAsia="Arial" w:hAnsi="Arial"/>
          <w:sz w:val="18"/>
          <w:szCs w:val="18"/>
          <w:color w:val="auto"/>
        </w:rPr>
        <w:t>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74" w:name="page75"/>
    <w:bookmarkEnd w:id="7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9"/>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Liquidity risk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6"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w:t>
      </w:r>
    </w:p>
    <w:p>
      <w:pPr>
        <w:spacing w:after="0" w:line="170"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60" w:type="dxa"/>
            <w:vAlign w:val="bottom"/>
            <w:tcBorders>
              <w:bottom w:val="single" w:sz="8" w:color="auto"/>
            </w:tcBorders>
            <w:gridSpan w:val="4"/>
          </w:tcPr>
          <w:p>
            <w:pPr>
              <w:jc w:val="right"/>
              <w:ind w:right="80"/>
              <w:spacing w:after="0"/>
              <w:rPr>
                <w:sz w:val="20"/>
                <w:szCs w:val="20"/>
                <w:color w:val="auto"/>
              </w:rPr>
            </w:pPr>
            <w:r>
              <w:rPr>
                <w:rFonts w:ascii="Arial" w:cs="Arial" w:eastAsia="Arial" w:hAnsi="Arial"/>
                <w:sz w:val="14"/>
                <w:szCs w:val="14"/>
                <w:b w:val="1"/>
                <w:bCs w:val="1"/>
                <w:color w:val="auto"/>
              </w:rPr>
              <w:t>September 30, 2018</w:t>
            </w: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340" w:type="dxa"/>
            <w:vAlign w:val="bottom"/>
          </w:tcPr>
          <w:p>
            <w:pPr>
              <w:spacing w:after="0"/>
              <w:rPr>
                <w:sz w:val="10"/>
                <w:szCs w:val="10"/>
                <w:color w:val="auto"/>
              </w:rPr>
            </w:pPr>
          </w:p>
        </w:tc>
        <w:tc>
          <w:tcPr>
            <w:tcW w:w="1060" w:type="dxa"/>
            <w:vAlign w:val="bottom"/>
            <w:gridSpan w:val="2"/>
            <w:vMerge w:val="restart"/>
          </w:tcPr>
          <w:p>
            <w:pPr>
              <w:jc w:val="right"/>
              <w:ind w:right="440"/>
              <w:spacing w:after="0"/>
              <w:rPr>
                <w:sz w:val="20"/>
                <w:szCs w:val="20"/>
                <w:color w:val="auto"/>
              </w:rPr>
            </w:pPr>
            <w:r>
              <w:rPr>
                <w:rFonts w:ascii="Arial" w:cs="Arial" w:eastAsia="Arial" w:hAnsi="Arial"/>
                <w:sz w:val="14"/>
                <w:szCs w:val="14"/>
                <w:b w:val="1"/>
                <w:bCs w:val="1"/>
                <w:color w:val="auto"/>
              </w:rPr>
              <w:t>Up to 3</w:t>
            </w:r>
          </w:p>
        </w:tc>
        <w:tc>
          <w:tcPr>
            <w:tcW w:w="1040" w:type="dxa"/>
            <w:vAlign w:val="bottom"/>
            <w:gridSpan w:val="2"/>
            <w:vMerge w:val="restart"/>
          </w:tcPr>
          <w:p>
            <w:pPr>
              <w:jc w:val="right"/>
              <w:ind w:right="439"/>
              <w:spacing w:after="0"/>
              <w:rPr>
                <w:sz w:val="20"/>
                <w:szCs w:val="20"/>
                <w:color w:val="auto"/>
              </w:rPr>
            </w:pPr>
            <w:r>
              <w:rPr>
                <w:rFonts w:ascii="Arial" w:cs="Arial" w:eastAsia="Arial" w:hAnsi="Arial"/>
                <w:sz w:val="14"/>
                <w:szCs w:val="14"/>
                <w:b w:val="1"/>
                <w:bCs w:val="1"/>
                <w:color w:val="auto"/>
              </w:rPr>
              <w:t>3 to 6</w:t>
            </w:r>
          </w:p>
        </w:tc>
        <w:tc>
          <w:tcPr>
            <w:tcW w:w="1060" w:type="dxa"/>
            <w:vAlign w:val="bottom"/>
            <w:gridSpan w:val="2"/>
            <w:vMerge w:val="restart"/>
          </w:tcPr>
          <w:p>
            <w:pPr>
              <w:jc w:val="right"/>
              <w:ind w:right="319"/>
              <w:spacing w:after="0"/>
              <w:rPr>
                <w:sz w:val="20"/>
                <w:szCs w:val="20"/>
                <w:color w:val="auto"/>
              </w:rPr>
            </w:pPr>
            <w:r>
              <w:rPr>
                <w:rFonts w:ascii="Arial" w:cs="Arial" w:eastAsia="Arial" w:hAnsi="Arial"/>
                <w:sz w:val="14"/>
                <w:szCs w:val="14"/>
                <w:b w:val="1"/>
                <w:bCs w:val="1"/>
                <w:color w:val="auto"/>
              </w:rPr>
              <w:t>6 months</w:t>
            </w:r>
          </w:p>
        </w:tc>
        <w:tc>
          <w:tcPr>
            <w:tcW w:w="1000" w:type="dxa"/>
            <w:vAlign w:val="bottom"/>
            <w:gridSpan w:val="2"/>
            <w:vMerge w:val="restart"/>
          </w:tcPr>
          <w:p>
            <w:pPr>
              <w:jc w:val="right"/>
              <w:ind w:right="440"/>
              <w:spacing w:after="0"/>
              <w:rPr>
                <w:sz w:val="20"/>
                <w:szCs w:val="20"/>
                <w:color w:val="auto"/>
              </w:rPr>
            </w:pPr>
            <w:r>
              <w:rPr>
                <w:rFonts w:ascii="Arial" w:cs="Arial" w:eastAsia="Arial" w:hAnsi="Arial"/>
                <w:sz w:val="14"/>
                <w:szCs w:val="14"/>
                <w:b w:val="1"/>
                <w:bCs w:val="1"/>
                <w:color w:val="auto"/>
              </w:rPr>
              <w:t>1 to 5</w:t>
            </w:r>
          </w:p>
        </w:tc>
        <w:tc>
          <w:tcPr>
            <w:tcW w:w="1000" w:type="dxa"/>
            <w:vAlign w:val="bottom"/>
            <w:gridSpan w:val="2"/>
          </w:tcPr>
          <w:p>
            <w:pPr>
              <w:jc w:val="center"/>
              <w:ind w:right="159"/>
              <w:spacing w:after="0" w:line="119" w:lineRule="exact"/>
              <w:rPr>
                <w:sz w:val="20"/>
                <w:szCs w:val="20"/>
                <w:color w:val="auto"/>
              </w:rPr>
            </w:pPr>
            <w:r>
              <w:rPr>
                <w:rFonts w:ascii="Arial" w:cs="Arial" w:eastAsia="Arial" w:hAnsi="Arial"/>
                <w:sz w:val="13"/>
                <w:szCs w:val="13"/>
                <w:b w:val="1"/>
                <w:bCs w:val="1"/>
                <w:color w:val="auto"/>
              </w:rPr>
              <w:t>More</w:t>
            </w:r>
          </w:p>
        </w:tc>
        <w:tc>
          <w:tcPr>
            <w:tcW w:w="1000" w:type="dxa"/>
            <w:vAlign w:val="bottom"/>
            <w:gridSpan w:val="2"/>
            <w:vMerge w:val="restart"/>
          </w:tcPr>
          <w:p>
            <w:pPr>
              <w:ind w:left="140"/>
              <w:spacing w:after="0"/>
              <w:rPr>
                <w:sz w:val="20"/>
                <w:szCs w:val="20"/>
                <w:color w:val="auto"/>
              </w:rPr>
            </w:pPr>
            <w:r>
              <w:rPr>
                <w:rFonts w:ascii="Arial" w:cs="Arial" w:eastAsia="Arial" w:hAnsi="Arial"/>
                <w:sz w:val="14"/>
                <w:szCs w:val="14"/>
                <w:b w:val="1"/>
                <w:bCs w:val="1"/>
                <w:color w:val="auto"/>
              </w:rPr>
              <w:t>Without</w:t>
            </w:r>
          </w:p>
        </w:tc>
        <w:tc>
          <w:tcPr>
            <w:tcW w:w="8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vMerge w:val="restart"/>
          </w:tcPr>
          <w:p>
            <w:pPr>
              <w:ind w:left="1740"/>
              <w:spacing w:after="0"/>
              <w:rPr>
                <w:sz w:val="20"/>
                <w:szCs w:val="20"/>
                <w:color w:val="auto"/>
              </w:rPr>
            </w:pPr>
            <w:r>
              <w:rPr>
                <w:rFonts w:ascii="Arial" w:cs="Arial" w:eastAsia="Arial" w:hAnsi="Arial"/>
                <w:sz w:val="14"/>
                <w:szCs w:val="14"/>
                <w:b w:val="1"/>
                <w:bCs w:val="1"/>
                <w:color w:val="auto"/>
              </w:rPr>
              <w:t>Description</w:t>
            </w:r>
          </w:p>
        </w:tc>
        <w:tc>
          <w:tcPr>
            <w:tcW w:w="106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6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00" w:type="dxa"/>
            <w:vAlign w:val="bottom"/>
            <w:gridSpan w:val="2"/>
          </w:tcPr>
          <w:p>
            <w:pPr>
              <w:jc w:val="center"/>
              <w:ind w:right="159"/>
              <w:spacing w:after="0" w:line="149" w:lineRule="exact"/>
              <w:rPr>
                <w:sz w:val="20"/>
                <w:szCs w:val="20"/>
                <w:color w:val="auto"/>
              </w:rPr>
            </w:pPr>
            <w:r>
              <w:rPr>
                <w:rFonts w:ascii="Arial" w:cs="Arial" w:eastAsia="Arial" w:hAnsi="Arial"/>
                <w:sz w:val="14"/>
                <w:szCs w:val="14"/>
                <w:b w:val="1"/>
                <w:bCs w:val="1"/>
                <w:color w:val="auto"/>
                <w:w w:val="94"/>
              </w:rPr>
              <w:t>than</w:t>
            </w:r>
          </w:p>
        </w:tc>
        <w:tc>
          <w:tcPr>
            <w:tcW w:w="1000" w:type="dxa"/>
            <w:vAlign w:val="bottom"/>
            <w:gridSpan w:val="2"/>
            <w:vMerge w:val="continue"/>
          </w:tcPr>
          <w:p>
            <w:pPr>
              <w:spacing w:after="0"/>
              <w:rPr>
                <w:sz w:val="12"/>
                <w:szCs w:val="12"/>
                <w:color w:val="auto"/>
              </w:rPr>
            </w:pPr>
          </w:p>
        </w:tc>
        <w:tc>
          <w:tcPr>
            <w:tcW w:w="90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340" w:type="dxa"/>
            <w:vAlign w:val="bottom"/>
            <w:vMerge w:val="continue"/>
          </w:tcPr>
          <w:p>
            <w:pPr>
              <w:spacing w:after="0"/>
              <w:rPr>
                <w:sz w:val="14"/>
                <w:szCs w:val="14"/>
                <w:color w:val="auto"/>
              </w:rPr>
            </w:pPr>
          </w:p>
        </w:tc>
        <w:tc>
          <w:tcPr>
            <w:tcW w:w="106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months</w:t>
            </w:r>
          </w:p>
        </w:tc>
        <w:tc>
          <w:tcPr>
            <w:tcW w:w="1040" w:type="dxa"/>
            <w:vAlign w:val="bottom"/>
            <w:gridSpan w:val="2"/>
          </w:tcPr>
          <w:p>
            <w:pPr>
              <w:jc w:val="right"/>
              <w:ind w:right="379"/>
              <w:spacing w:after="0"/>
              <w:rPr>
                <w:sz w:val="20"/>
                <w:szCs w:val="20"/>
                <w:color w:val="auto"/>
              </w:rPr>
            </w:pPr>
            <w:r>
              <w:rPr>
                <w:rFonts w:ascii="Arial" w:cs="Arial" w:eastAsia="Arial" w:hAnsi="Arial"/>
                <w:sz w:val="14"/>
                <w:szCs w:val="14"/>
                <w:b w:val="1"/>
                <w:bCs w:val="1"/>
                <w:color w:val="auto"/>
              </w:rPr>
              <w:t>months</w:t>
            </w:r>
          </w:p>
        </w:tc>
        <w:tc>
          <w:tcPr>
            <w:tcW w:w="1060" w:type="dxa"/>
            <w:vAlign w:val="bottom"/>
            <w:gridSpan w:val="2"/>
          </w:tcPr>
          <w:p>
            <w:pPr>
              <w:jc w:val="right"/>
              <w:ind w:right="339"/>
              <w:spacing w:after="0"/>
              <w:rPr>
                <w:sz w:val="20"/>
                <w:szCs w:val="20"/>
                <w:color w:val="auto"/>
              </w:rPr>
            </w:pPr>
            <w:r>
              <w:rPr>
                <w:rFonts w:ascii="Arial" w:cs="Arial" w:eastAsia="Arial" w:hAnsi="Arial"/>
                <w:sz w:val="14"/>
                <w:szCs w:val="14"/>
                <w:b w:val="1"/>
                <w:bCs w:val="1"/>
                <w:color w:val="auto"/>
              </w:rPr>
              <w:t>to 1 year</w:t>
            </w:r>
          </w:p>
        </w:tc>
        <w:tc>
          <w:tcPr>
            <w:tcW w:w="100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years</w:t>
            </w:r>
          </w:p>
        </w:tc>
        <w:tc>
          <w:tcPr>
            <w:tcW w:w="100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91"/>
              </w:rPr>
              <w:t>5 years</w:t>
            </w:r>
          </w:p>
        </w:tc>
        <w:tc>
          <w:tcPr>
            <w:tcW w:w="1000" w:type="dxa"/>
            <w:vAlign w:val="bottom"/>
            <w:gridSpan w:val="2"/>
          </w:tcPr>
          <w:p>
            <w:pPr>
              <w:ind w:left="120"/>
              <w:spacing w:after="0"/>
              <w:rPr>
                <w:sz w:val="20"/>
                <w:szCs w:val="20"/>
                <w:color w:val="auto"/>
              </w:rPr>
            </w:pPr>
            <w:r>
              <w:rPr>
                <w:rFonts w:ascii="Arial" w:cs="Arial" w:eastAsia="Arial" w:hAnsi="Arial"/>
                <w:sz w:val="14"/>
                <w:szCs w:val="14"/>
                <w:b w:val="1"/>
                <w:bCs w:val="1"/>
                <w:color w:val="auto"/>
              </w:rPr>
              <w:t>maturity</w:t>
            </w:r>
          </w:p>
        </w:tc>
        <w:tc>
          <w:tcPr>
            <w:tcW w:w="9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8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Cash and cash equivalent</w:t>
            </w: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792,952</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792,952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 securities</w:t>
            </w: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1,650</w:t>
            </w:r>
          </w:p>
        </w:tc>
        <w:tc>
          <w:tcPr>
            <w:tcW w:w="104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12,975</w:t>
            </w: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18,045</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60,336</w:t>
            </w: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93,006</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Equity investments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5,527</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5,527</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1,880,751</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918,042</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1,076,886</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1,786,219</w:t>
            </w: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62,620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5,724,518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Unearned interest and deferred fees</w:t>
            </w:r>
          </w:p>
        </w:tc>
        <w:tc>
          <w:tcPr>
            <w:tcW w:w="10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(843)</w:t>
            </w:r>
          </w:p>
        </w:tc>
        <w:tc>
          <w:tcPr>
            <w:tcW w:w="104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(1,243)</w:t>
            </w:r>
          </w:p>
        </w:tc>
        <w:tc>
          <w:tcPr>
            <w:tcW w:w="10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(22)</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(4,901)</w:t>
            </w:r>
          </w:p>
        </w:tc>
        <w:tc>
          <w:tcPr>
            <w:tcW w:w="10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(348)</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(7,357)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w:t>
            </w:r>
          </w:p>
        </w:tc>
        <w:tc>
          <w:tcPr>
            <w:tcW w:w="10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(44,078)</w:t>
            </w:r>
          </w:p>
        </w:tc>
        <w:tc>
          <w:tcPr>
            <w:tcW w:w="104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(7,099)</w:t>
            </w:r>
          </w:p>
        </w:tc>
        <w:tc>
          <w:tcPr>
            <w:tcW w:w="10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(7,284)</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(63,616)</w:t>
            </w:r>
          </w:p>
        </w:tc>
        <w:tc>
          <w:tcPr>
            <w:tcW w:w="100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(17,241)</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(139,318)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Other assets</w:t>
            </w:r>
          </w:p>
        </w:tc>
        <w:tc>
          <w:tcPr>
            <w:tcW w:w="1060" w:type="dxa"/>
            <w:vAlign w:val="bottom"/>
            <w:gridSpan w:val="2"/>
          </w:tcPr>
          <w:p>
            <w:pPr>
              <w:jc w:val="right"/>
              <w:ind w:right="260"/>
              <w:spacing w:after="0"/>
              <w:rPr>
                <w:sz w:val="20"/>
                <w:szCs w:val="20"/>
                <w:color w:val="auto"/>
              </w:rPr>
            </w:pPr>
            <w:r>
              <w:rPr>
                <w:rFonts w:ascii="Arial" w:cs="Arial" w:eastAsia="Arial" w:hAnsi="Arial"/>
                <w:sz w:val="14"/>
                <w:szCs w:val="14"/>
                <w:color w:val="auto"/>
              </w:rPr>
              <w:t>58,573</w:t>
            </w:r>
          </w:p>
        </w:tc>
        <w:tc>
          <w:tcPr>
            <w:tcW w:w="1040" w:type="dxa"/>
            <w:vAlign w:val="bottom"/>
            <w:gridSpan w:val="2"/>
          </w:tcPr>
          <w:p>
            <w:pPr>
              <w:jc w:val="right"/>
              <w:ind w:right="199"/>
              <w:spacing w:after="0"/>
              <w:rPr>
                <w:sz w:val="20"/>
                <w:szCs w:val="20"/>
                <w:color w:val="auto"/>
              </w:rPr>
            </w:pPr>
            <w:r>
              <w:rPr>
                <w:rFonts w:ascii="Arial" w:cs="Arial" w:eastAsia="Arial" w:hAnsi="Arial"/>
                <w:sz w:val="14"/>
                <w:szCs w:val="14"/>
                <w:color w:val="auto"/>
              </w:rPr>
              <w:t>12,733</w:t>
            </w:r>
          </w:p>
        </w:tc>
        <w:tc>
          <w:tcPr>
            <w:tcW w:w="1060" w:type="dxa"/>
            <w:vAlign w:val="bottom"/>
            <w:gridSpan w:val="2"/>
          </w:tcPr>
          <w:p>
            <w:pPr>
              <w:jc w:val="right"/>
              <w:ind w:right="199"/>
              <w:spacing w:after="0"/>
              <w:rPr>
                <w:sz w:val="20"/>
                <w:szCs w:val="20"/>
                <w:color w:val="auto"/>
              </w:rPr>
            </w:pPr>
            <w:r>
              <w:rPr>
                <w:rFonts w:ascii="Arial" w:cs="Arial" w:eastAsia="Arial" w:hAnsi="Arial"/>
                <w:sz w:val="14"/>
                <w:szCs w:val="14"/>
                <w:color w:val="auto"/>
              </w:rPr>
              <w:t>15,185</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2,029</w:t>
            </w:r>
          </w:p>
        </w:tc>
        <w:tc>
          <w:tcPr>
            <w:tcW w:w="1000" w:type="dxa"/>
            <w:vAlign w:val="bottom"/>
            <w:gridSpan w:val="2"/>
          </w:tcPr>
          <w:p>
            <w:pPr>
              <w:jc w:val="right"/>
              <w:ind w:right="159"/>
              <w:spacing w:after="0"/>
              <w:rPr>
                <w:sz w:val="20"/>
                <w:szCs w:val="20"/>
                <w:color w:val="auto"/>
              </w:rPr>
            </w:pPr>
            <w:r>
              <w:rPr>
                <w:rFonts w:ascii="Arial" w:cs="Arial" w:eastAsia="Arial" w:hAnsi="Arial"/>
                <w:sz w:val="14"/>
                <w:szCs w:val="14"/>
                <w:color w:val="auto"/>
              </w:rPr>
              <w:t>1,495</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1,415</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91,430</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2,689,005</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935,408</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1,102,810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1,780,067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46,526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6,942</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6,560,758</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2,112,392</w:t>
            </w:r>
          </w:p>
        </w:tc>
        <w:tc>
          <w:tcPr>
            <w:tcW w:w="104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366,462</w:t>
            </w:r>
          </w:p>
        </w:tc>
        <w:tc>
          <w:tcPr>
            <w:tcW w:w="10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298,681</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2,777,535</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282,509</w:t>
            </w:r>
          </w:p>
        </w:tc>
        <w:tc>
          <w:tcPr>
            <w:tcW w:w="1040" w:type="dxa"/>
            <w:vAlign w:val="bottom"/>
            <w:gridSpan w:val="2"/>
            <w:shd w:val="clear" w:color="auto" w:fill="CCEEFF"/>
          </w:tcPr>
          <w:p>
            <w:pPr>
              <w:jc w:val="right"/>
              <w:ind w:right="199"/>
              <w:spacing w:after="0"/>
              <w:rPr>
                <w:sz w:val="20"/>
                <w:szCs w:val="20"/>
                <w:color w:val="auto"/>
              </w:rPr>
            </w:pPr>
            <w:r>
              <w:rPr>
                <w:rFonts w:ascii="Arial" w:cs="Arial" w:eastAsia="Arial" w:hAnsi="Arial"/>
                <w:sz w:val="14"/>
                <w:szCs w:val="14"/>
                <w:color w:val="auto"/>
              </w:rPr>
              <w:t>477,113</w:t>
            </w:r>
          </w:p>
        </w:tc>
        <w:tc>
          <w:tcPr>
            <w:tcW w:w="1060" w:type="dxa"/>
            <w:vAlign w:val="bottom"/>
            <w:gridSpan w:val="2"/>
            <w:shd w:val="clear" w:color="auto" w:fill="CCEEFF"/>
          </w:tcPr>
          <w:p>
            <w:pPr>
              <w:jc w:val="right"/>
              <w:ind w:right="199"/>
              <w:spacing w:after="0"/>
              <w:rPr>
                <w:sz w:val="20"/>
                <w:szCs w:val="20"/>
                <w:color w:val="auto"/>
              </w:rPr>
            </w:pPr>
            <w:r>
              <w:rPr>
                <w:rFonts w:ascii="Arial" w:cs="Arial" w:eastAsia="Arial" w:hAnsi="Arial"/>
                <w:sz w:val="14"/>
                <w:szCs w:val="14"/>
                <w:color w:val="auto"/>
              </w:rPr>
              <w:t>801,028</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1,159,765</w:t>
            </w:r>
          </w:p>
        </w:tc>
        <w:tc>
          <w:tcPr>
            <w:tcW w:w="10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67,342</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6,515</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2,794,272</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3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2,394,901</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843,575</w:t>
            </w:r>
          </w:p>
        </w:tc>
        <w:tc>
          <w:tcPr>
            <w:tcW w:w="240" w:type="dxa"/>
            <w:vAlign w:val="bottom"/>
            <w:tcBorders>
              <w:bottom w:val="single" w:sz="8" w:color="CCEEFF"/>
            </w:tcBorders>
          </w:tcPr>
          <w:p>
            <w:pPr>
              <w:spacing w:after="0"/>
              <w:rPr>
                <w:sz w:val="17"/>
                <w:szCs w:val="17"/>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1,099,709</w:t>
            </w:r>
          </w:p>
        </w:tc>
        <w:tc>
          <w:tcPr>
            <w:tcW w:w="24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1,159,765</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67,342</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6,515</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5,571,807</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Confirmed letters of credit</w:t>
            </w: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76,352</w:t>
            </w:r>
          </w:p>
        </w:tc>
        <w:tc>
          <w:tcPr>
            <w:tcW w:w="104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116,479</w:t>
            </w:r>
          </w:p>
        </w:tc>
        <w:tc>
          <w:tcPr>
            <w:tcW w:w="10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2,060</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194,891</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guaranteed – Commercial risk</w:t>
            </w: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18,476</w:t>
            </w:r>
          </w:p>
        </w:tc>
        <w:tc>
          <w:tcPr>
            <w:tcW w:w="104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36,466</w:t>
            </w: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66,540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23,919</w:t>
            </w: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145,401</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Credit commitments</w:t>
            </w:r>
          </w:p>
        </w:tc>
        <w:tc>
          <w:tcPr>
            <w:tcW w:w="1060" w:type="dxa"/>
            <w:vAlign w:val="bottom"/>
            <w:gridSpan w:val="2"/>
          </w:tcPr>
          <w:p>
            <w:pPr>
              <w:jc w:val="right"/>
              <w:ind w:right="260"/>
              <w:spacing w:after="0"/>
              <w:rPr>
                <w:sz w:val="20"/>
                <w:szCs w:val="20"/>
                <w:color w:val="auto"/>
              </w:rPr>
            </w:pPr>
            <w:r>
              <w:rPr>
                <w:rFonts w:ascii="Arial" w:cs="Arial" w:eastAsia="Arial" w:hAnsi="Arial"/>
                <w:sz w:val="14"/>
                <w:szCs w:val="14"/>
                <w:color w:val="auto"/>
              </w:rPr>
              <w:t>74,834</w:t>
            </w:r>
          </w:p>
        </w:tc>
        <w:tc>
          <w:tcPr>
            <w:tcW w:w="1040" w:type="dxa"/>
            <w:vAlign w:val="bottom"/>
            <w:gridSpan w:val="2"/>
          </w:tcPr>
          <w:p>
            <w:pPr>
              <w:jc w:val="right"/>
              <w:ind w:right="199"/>
              <w:spacing w:after="0"/>
              <w:rPr>
                <w:sz w:val="20"/>
                <w:szCs w:val="20"/>
                <w:color w:val="auto"/>
              </w:rPr>
            </w:pPr>
            <w:r>
              <w:rPr>
                <w:rFonts w:ascii="Arial" w:cs="Arial" w:eastAsia="Arial" w:hAnsi="Arial"/>
                <w:sz w:val="14"/>
                <w:szCs w:val="14"/>
                <w:color w:val="auto"/>
              </w:rPr>
              <w:t>65,000</w:t>
            </w: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75,714</w:t>
            </w:r>
          </w:p>
        </w:tc>
        <w:tc>
          <w:tcPr>
            <w:tcW w:w="100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215,548</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169,662</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217,945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68,600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99,633</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555,840</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8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8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tcPr>
          <w:p>
            <w:pPr>
              <w:spacing w:after="0"/>
              <w:rPr>
                <w:sz w:val="11"/>
                <w:szCs w:val="11"/>
                <w:color w:val="auto"/>
              </w:rPr>
            </w:pPr>
          </w:p>
        </w:tc>
        <w:tc>
          <w:tcPr>
            <w:tcW w:w="43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124,442</w:t>
            </w:r>
          </w:p>
        </w:tc>
        <w:tc>
          <w:tcPr>
            <w:tcW w:w="26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(126,112</w:t>
            </w:r>
          </w:p>
        </w:tc>
        <w:tc>
          <w:tcPr>
            <w:tcW w:w="24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(65,499</w:t>
            </w:r>
          </w:p>
        </w:tc>
        <w:tc>
          <w:tcPr>
            <w:tcW w:w="2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520,669</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(20,816</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427</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433,111</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75" w:name="page76"/>
    <w:bookmarkEnd w:id="7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21. Risk management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Liquidity risk (continued)</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60" w:type="dxa"/>
            <w:vAlign w:val="bottom"/>
            <w:tcBorders>
              <w:bottom w:val="single" w:sz="8" w:color="auto"/>
            </w:tcBorders>
            <w:gridSpan w:val="4"/>
          </w:tcPr>
          <w:p>
            <w:pPr>
              <w:jc w:val="right"/>
              <w:ind w:right="100"/>
              <w:spacing w:after="0"/>
              <w:rPr>
                <w:sz w:val="20"/>
                <w:szCs w:val="20"/>
                <w:color w:val="auto"/>
              </w:rPr>
            </w:pPr>
            <w:r>
              <w:rPr>
                <w:rFonts w:ascii="Arial" w:cs="Arial" w:eastAsia="Arial" w:hAnsi="Arial"/>
                <w:sz w:val="14"/>
                <w:szCs w:val="14"/>
                <w:b w:val="1"/>
                <w:bCs w:val="1"/>
                <w:color w:val="auto"/>
              </w:rPr>
              <w:t>December 31, 2017</w:t>
            </w: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340" w:type="dxa"/>
            <w:vAlign w:val="bottom"/>
          </w:tcPr>
          <w:p>
            <w:pPr>
              <w:spacing w:after="0"/>
              <w:rPr>
                <w:sz w:val="10"/>
                <w:szCs w:val="10"/>
                <w:color w:val="auto"/>
              </w:rPr>
            </w:pPr>
          </w:p>
        </w:tc>
        <w:tc>
          <w:tcPr>
            <w:tcW w:w="1060" w:type="dxa"/>
            <w:vAlign w:val="bottom"/>
            <w:gridSpan w:val="2"/>
            <w:vMerge w:val="restart"/>
          </w:tcPr>
          <w:p>
            <w:pPr>
              <w:jc w:val="right"/>
              <w:ind w:right="368"/>
              <w:spacing w:after="0"/>
              <w:rPr>
                <w:sz w:val="20"/>
                <w:szCs w:val="20"/>
                <w:color w:val="auto"/>
              </w:rPr>
            </w:pPr>
            <w:r>
              <w:rPr>
                <w:rFonts w:ascii="Arial" w:cs="Arial" w:eastAsia="Arial" w:hAnsi="Arial"/>
                <w:sz w:val="14"/>
                <w:szCs w:val="14"/>
                <w:b w:val="1"/>
                <w:bCs w:val="1"/>
                <w:color w:val="auto"/>
              </w:rPr>
              <w:t>Up to 3</w:t>
            </w:r>
          </w:p>
        </w:tc>
        <w:tc>
          <w:tcPr>
            <w:tcW w:w="1040" w:type="dxa"/>
            <w:vAlign w:val="bottom"/>
            <w:gridSpan w:val="2"/>
            <w:vMerge w:val="restart"/>
          </w:tcPr>
          <w:p>
            <w:pPr>
              <w:jc w:val="right"/>
              <w:ind w:right="480"/>
              <w:spacing w:after="0"/>
              <w:rPr>
                <w:sz w:val="20"/>
                <w:szCs w:val="20"/>
                <w:color w:val="auto"/>
              </w:rPr>
            </w:pPr>
            <w:r>
              <w:rPr>
                <w:rFonts w:ascii="Arial" w:cs="Arial" w:eastAsia="Arial" w:hAnsi="Arial"/>
                <w:sz w:val="14"/>
                <w:szCs w:val="14"/>
                <w:b w:val="1"/>
                <w:bCs w:val="1"/>
                <w:color w:val="auto"/>
              </w:rPr>
              <w:t>3 to 6</w:t>
            </w:r>
          </w:p>
        </w:tc>
        <w:tc>
          <w:tcPr>
            <w:tcW w:w="1060" w:type="dxa"/>
            <w:vAlign w:val="bottom"/>
            <w:gridSpan w:val="2"/>
            <w:vMerge w:val="restart"/>
          </w:tcPr>
          <w:p>
            <w:pPr>
              <w:jc w:val="right"/>
              <w:ind w:right="319"/>
              <w:spacing w:after="0"/>
              <w:rPr>
                <w:sz w:val="20"/>
                <w:szCs w:val="20"/>
                <w:color w:val="auto"/>
              </w:rPr>
            </w:pPr>
            <w:r>
              <w:rPr>
                <w:rFonts w:ascii="Arial" w:cs="Arial" w:eastAsia="Arial" w:hAnsi="Arial"/>
                <w:sz w:val="14"/>
                <w:szCs w:val="14"/>
                <w:b w:val="1"/>
                <w:bCs w:val="1"/>
                <w:color w:val="auto"/>
              </w:rPr>
              <w:t>6 months</w:t>
            </w:r>
          </w:p>
        </w:tc>
        <w:tc>
          <w:tcPr>
            <w:tcW w:w="1000" w:type="dxa"/>
            <w:vAlign w:val="bottom"/>
            <w:gridSpan w:val="2"/>
            <w:vMerge w:val="restart"/>
          </w:tcPr>
          <w:p>
            <w:pPr>
              <w:jc w:val="right"/>
              <w:ind w:right="440"/>
              <w:spacing w:after="0"/>
              <w:rPr>
                <w:sz w:val="20"/>
                <w:szCs w:val="20"/>
                <w:color w:val="auto"/>
              </w:rPr>
            </w:pPr>
            <w:r>
              <w:rPr>
                <w:rFonts w:ascii="Arial" w:cs="Arial" w:eastAsia="Arial" w:hAnsi="Arial"/>
                <w:sz w:val="14"/>
                <w:szCs w:val="14"/>
                <w:b w:val="1"/>
                <w:bCs w:val="1"/>
                <w:color w:val="auto"/>
              </w:rPr>
              <w:t>1 to 5</w:t>
            </w:r>
          </w:p>
        </w:tc>
        <w:tc>
          <w:tcPr>
            <w:tcW w:w="10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More</w:t>
            </w:r>
          </w:p>
        </w:tc>
        <w:tc>
          <w:tcPr>
            <w:tcW w:w="100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Without</w:t>
            </w:r>
          </w:p>
        </w:tc>
        <w:tc>
          <w:tcPr>
            <w:tcW w:w="8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vMerge w:val="restart"/>
          </w:tcPr>
          <w:p>
            <w:pPr>
              <w:ind w:left="1740"/>
              <w:spacing w:after="0"/>
              <w:rPr>
                <w:sz w:val="20"/>
                <w:szCs w:val="20"/>
                <w:color w:val="auto"/>
              </w:rPr>
            </w:pPr>
            <w:r>
              <w:rPr>
                <w:rFonts w:ascii="Arial" w:cs="Arial" w:eastAsia="Arial" w:hAnsi="Arial"/>
                <w:sz w:val="14"/>
                <w:szCs w:val="14"/>
                <w:b w:val="1"/>
                <w:bCs w:val="1"/>
                <w:color w:val="auto"/>
              </w:rPr>
              <w:t>Description</w:t>
            </w:r>
          </w:p>
        </w:tc>
        <w:tc>
          <w:tcPr>
            <w:tcW w:w="106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6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0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4"/>
              </w:rPr>
              <w:t>than</w:t>
            </w:r>
          </w:p>
        </w:tc>
        <w:tc>
          <w:tcPr>
            <w:tcW w:w="1000" w:type="dxa"/>
            <w:vAlign w:val="bottom"/>
            <w:gridSpan w:val="2"/>
            <w:vMerge w:val="continue"/>
          </w:tcPr>
          <w:p>
            <w:pPr>
              <w:spacing w:after="0"/>
              <w:rPr>
                <w:sz w:val="12"/>
                <w:szCs w:val="12"/>
                <w:color w:val="auto"/>
              </w:rPr>
            </w:pPr>
          </w:p>
        </w:tc>
        <w:tc>
          <w:tcPr>
            <w:tcW w:w="90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340" w:type="dxa"/>
            <w:vAlign w:val="bottom"/>
            <w:vMerge w:val="continue"/>
          </w:tcPr>
          <w:p>
            <w:pPr>
              <w:spacing w:after="0"/>
              <w:rPr>
                <w:sz w:val="14"/>
                <w:szCs w:val="14"/>
                <w:color w:val="auto"/>
              </w:rPr>
            </w:pPr>
          </w:p>
        </w:tc>
        <w:tc>
          <w:tcPr>
            <w:tcW w:w="1060" w:type="dxa"/>
            <w:vAlign w:val="bottom"/>
            <w:gridSpan w:val="2"/>
          </w:tcPr>
          <w:p>
            <w:pPr>
              <w:jc w:val="right"/>
              <w:ind w:right="368"/>
              <w:spacing w:after="0"/>
              <w:rPr>
                <w:sz w:val="20"/>
                <w:szCs w:val="20"/>
                <w:color w:val="auto"/>
              </w:rPr>
            </w:pPr>
            <w:r>
              <w:rPr>
                <w:rFonts w:ascii="Arial" w:cs="Arial" w:eastAsia="Arial" w:hAnsi="Arial"/>
                <w:sz w:val="14"/>
                <w:szCs w:val="14"/>
                <w:b w:val="1"/>
                <w:bCs w:val="1"/>
                <w:color w:val="auto"/>
              </w:rPr>
              <w:t>months</w:t>
            </w:r>
          </w:p>
        </w:tc>
        <w:tc>
          <w:tcPr>
            <w:tcW w:w="104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months</w:t>
            </w:r>
          </w:p>
        </w:tc>
        <w:tc>
          <w:tcPr>
            <w:tcW w:w="1060" w:type="dxa"/>
            <w:vAlign w:val="bottom"/>
            <w:gridSpan w:val="2"/>
          </w:tcPr>
          <w:p>
            <w:pPr>
              <w:jc w:val="right"/>
              <w:ind w:right="339"/>
              <w:spacing w:after="0"/>
              <w:rPr>
                <w:sz w:val="20"/>
                <w:szCs w:val="20"/>
                <w:color w:val="auto"/>
              </w:rPr>
            </w:pPr>
            <w:r>
              <w:rPr>
                <w:rFonts w:ascii="Arial" w:cs="Arial" w:eastAsia="Arial" w:hAnsi="Arial"/>
                <w:sz w:val="14"/>
                <w:szCs w:val="14"/>
                <w:b w:val="1"/>
                <w:bCs w:val="1"/>
                <w:color w:val="auto"/>
              </w:rPr>
              <w:t>to 1 year</w:t>
            </w:r>
          </w:p>
        </w:tc>
        <w:tc>
          <w:tcPr>
            <w:tcW w:w="100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years</w:t>
            </w:r>
          </w:p>
        </w:tc>
        <w:tc>
          <w:tcPr>
            <w:tcW w:w="10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5 years</w:t>
            </w:r>
          </w:p>
        </w:tc>
        <w:tc>
          <w:tcPr>
            <w:tcW w:w="100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maturity</w:t>
            </w:r>
          </w:p>
        </w:tc>
        <w:tc>
          <w:tcPr>
            <w:tcW w:w="9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8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Cash and cash equivalent</w:t>
            </w:r>
          </w:p>
        </w:tc>
        <w:tc>
          <w:tcPr>
            <w:tcW w:w="10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672,048</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672,048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 securities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700</w:t>
            </w: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279</w:t>
            </w:r>
          </w:p>
        </w:tc>
        <w:tc>
          <w:tcPr>
            <w:tcW w:w="2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7,000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77,688</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85,667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Equity investments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8,402</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8,402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1,926,787</w:t>
            </w: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1,175,801</w:t>
            </w:r>
          </w:p>
        </w:tc>
        <w:tc>
          <w:tcPr>
            <w:tcW w:w="2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922,711</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1,386,161</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94,198</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5,505,658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Unearned interest and deferred fees</w:t>
            </w:r>
          </w:p>
        </w:tc>
        <w:tc>
          <w:tcPr>
            <w:tcW w:w="106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(472)</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(479)</w:t>
            </w:r>
          </w:p>
        </w:tc>
        <w:tc>
          <w:tcPr>
            <w:tcW w:w="10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(223)</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(3,546)</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(248)</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(17)</w:t>
            </w:r>
          </w:p>
        </w:tc>
        <w:tc>
          <w:tcPr>
            <w:tcW w:w="9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(4,985)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w:t>
            </w:r>
          </w:p>
        </w:tc>
        <w:tc>
          <w:tcPr>
            <w:tcW w:w="106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(35,787)</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(6,302)</w:t>
            </w:r>
          </w:p>
        </w:tc>
        <w:tc>
          <w:tcPr>
            <w:tcW w:w="10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(8,208)</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(24,827)</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(6,170)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(81,294)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Other assets</w:t>
            </w:r>
          </w:p>
        </w:tc>
        <w:tc>
          <w:tcPr>
            <w:tcW w:w="1060" w:type="dxa"/>
            <w:vAlign w:val="bottom"/>
            <w:gridSpan w:val="2"/>
          </w:tcPr>
          <w:p>
            <w:pPr>
              <w:jc w:val="right"/>
              <w:ind w:right="188"/>
              <w:spacing w:after="0"/>
              <w:rPr>
                <w:sz w:val="20"/>
                <w:szCs w:val="20"/>
                <w:color w:val="auto"/>
              </w:rPr>
            </w:pPr>
            <w:r>
              <w:rPr>
                <w:rFonts w:ascii="Arial" w:cs="Arial" w:eastAsia="Arial" w:hAnsi="Arial"/>
                <w:sz w:val="14"/>
                <w:szCs w:val="14"/>
                <w:color w:val="auto"/>
              </w:rPr>
              <w:t>31,282</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8,635</w:t>
            </w:r>
          </w:p>
        </w:tc>
        <w:tc>
          <w:tcPr>
            <w:tcW w:w="1060" w:type="dxa"/>
            <w:vAlign w:val="bottom"/>
            <w:gridSpan w:val="2"/>
          </w:tcPr>
          <w:p>
            <w:pPr>
              <w:jc w:val="right"/>
              <w:ind w:right="199"/>
              <w:spacing w:after="0"/>
              <w:rPr>
                <w:sz w:val="20"/>
                <w:szCs w:val="20"/>
                <w:color w:val="auto"/>
              </w:rPr>
            </w:pPr>
            <w:r>
              <w:rPr>
                <w:rFonts w:ascii="Arial" w:cs="Arial" w:eastAsia="Arial" w:hAnsi="Arial"/>
                <w:sz w:val="14"/>
                <w:szCs w:val="14"/>
                <w:color w:val="auto"/>
              </w:rPr>
              <w:t>13,175</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3,819</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9,398</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15,942</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82,251</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2,594,558</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1,177,934</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934,455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1,439,295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97,178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24,327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6,267,747</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1,722,041</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411,158</w:t>
            </w:r>
          </w:p>
        </w:tc>
        <w:tc>
          <w:tcPr>
            <w:tcW w:w="10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571,500</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224,145</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2,928,844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106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806,547</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151,090</w:t>
            </w:r>
          </w:p>
        </w:tc>
        <w:tc>
          <w:tcPr>
            <w:tcW w:w="1060" w:type="dxa"/>
            <w:vAlign w:val="bottom"/>
            <w:gridSpan w:val="2"/>
            <w:shd w:val="clear" w:color="auto" w:fill="CCEEFF"/>
          </w:tcPr>
          <w:p>
            <w:pPr>
              <w:jc w:val="right"/>
              <w:ind w:right="199"/>
              <w:spacing w:after="0"/>
              <w:rPr>
                <w:sz w:val="20"/>
                <w:szCs w:val="20"/>
                <w:color w:val="auto"/>
              </w:rPr>
            </w:pPr>
            <w:r>
              <w:rPr>
                <w:rFonts w:ascii="Arial" w:cs="Arial" w:eastAsia="Arial" w:hAnsi="Arial"/>
                <w:sz w:val="14"/>
                <w:szCs w:val="14"/>
                <w:color w:val="auto"/>
              </w:rPr>
              <w:t>291,694</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979,958</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66,802</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2,296,091</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3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2,528,588</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562,248</w:t>
            </w:r>
          </w:p>
        </w:tc>
        <w:tc>
          <w:tcPr>
            <w:tcW w:w="240" w:type="dxa"/>
            <w:vAlign w:val="bottom"/>
            <w:tcBorders>
              <w:bottom w:val="single" w:sz="8" w:color="CCEEFF"/>
            </w:tcBorders>
          </w:tcPr>
          <w:p>
            <w:pPr>
              <w:spacing w:after="0"/>
              <w:rPr>
                <w:sz w:val="17"/>
                <w:szCs w:val="17"/>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863,194</w:t>
            </w:r>
          </w:p>
        </w:tc>
        <w:tc>
          <w:tcPr>
            <w:tcW w:w="24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1,204,103</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66,802</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5,224,935</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Confirmed letters of credit</w:t>
            </w:r>
          </w:p>
        </w:tc>
        <w:tc>
          <w:tcPr>
            <w:tcW w:w="10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169,042</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101,403</w:t>
            </w:r>
          </w:p>
        </w:tc>
        <w:tc>
          <w:tcPr>
            <w:tcW w:w="10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3,004</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273,449</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guaranteed – commercial risk</w:t>
            </w:r>
          </w:p>
        </w:tc>
        <w:tc>
          <w:tcPr>
            <w:tcW w:w="10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18,687</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72,080</w:t>
            </w: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77,952</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257</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168,976</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Credit commitments</w:t>
            </w: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15,000</w:t>
            </w: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30,000</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578</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45,578</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187,729</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188,483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80,956</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30,257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488,003</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8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w w:val="84"/>
              </w:rPr>
              <w:t>)</w:t>
            </w:r>
          </w:p>
        </w:tc>
        <w:tc>
          <w:tcPr>
            <w:tcW w:w="8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tcPr>
          <w:p>
            <w:pPr>
              <w:spacing w:after="0"/>
              <w:rPr>
                <w:sz w:val="11"/>
                <w:szCs w:val="11"/>
                <w:color w:val="auto"/>
              </w:rPr>
            </w:pPr>
          </w:p>
        </w:tc>
        <w:tc>
          <w:tcPr>
            <w:tcW w:w="43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(121,759</w:t>
            </w:r>
          </w:p>
        </w:tc>
        <w:tc>
          <w:tcPr>
            <w:tcW w:w="26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427,203</w:t>
            </w:r>
          </w:p>
        </w:tc>
        <w:tc>
          <w:tcPr>
            <w:tcW w:w="24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(9,695</w:t>
            </w:r>
          </w:p>
        </w:tc>
        <w:tc>
          <w:tcPr>
            <w:tcW w:w="2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204,935</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29,798</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24,327</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554,809</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8" w:right="239" w:bottom="1440" w:gutter="0" w:footer="0" w:header="0"/>
        </w:sectPr>
      </w:pPr>
    </w:p>
    <w:bookmarkStart w:id="76" w:name="page77"/>
    <w:bookmarkEnd w:id="7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90"/>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Market risk (continued)</w:t>
      </w:r>
    </w:p>
    <w:p>
      <w:pPr>
        <w:jc w:val="both"/>
        <w:ind w:left="340"/>
        <w:spacing w:after="0" w:line="255" w:lineRule="auto"/>
        <w:rPr>
          <w:rFonts w:ascii="Arial" w:cs="Arial" w:eastAsia="Arial" w:hAnsi="Arial"/>
          <w:sz w:val="16"/>
          <w:szCs w:val="16"/>
          <w:b w:val="1"/>
          <w:bCs w:val="1"/>
          <w:color w:val="auto"/>
        </w:rPr>
      </w:pPr>
      <w:r>
        <w:rPr>
          <w:rFonts w:ascii="Arial" w:cs="Arial" w:eastAsia="Arial" w:hAnsi="Arial"/>
          <w:sz w:val="18"/>
          <w:szCs w:val="18"/>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securities held to maturity and financial instruments through OCI, short- and long-term borrowings and debt, derivatives and financial liabilities through profit or loss. This risk may result from fluctuations in different parameters: interest rates, currency exchange rates, inflation rates and changes in the implied volatility. Accordingly, depending on the instruments or activities impacted, market risks can have wide ranging, complex adverse effects on the Bank’s financial condition, results of operations, cash flows and business.</w:t>
      </w:r>
    </w:p>
    <w:p>
      <w:pPr>
        <w:spacing w:after="0" w:line="193"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Interest rate risk</w:t>
      </w:r>
    </w:p>
    <w:p>
      <w:pPr>
        <w:spacing w:after="0" w:line="225" w:lineRule="exact"/>
        <w:rPr>
          <w:rFonts w:ascii="Arial" w:cs="Arial" w:eastAsia="Arial" w:hAnsi="Arial"/>
          <w:sz w:val="16"/>
          <w:szCs w:val="16"/>
          <w:b w:val="1"/>
          <w:bCs w:val="1"/>
          <w:color w:val="auto"/>
        </w:rPr>
      </w:pPr>
    </w:p>
    <w:p>
      <w:pPr>
        <w:jc w:val="both"/>
        <w:ind w:left="340"/>
        <w:spacing w:after="0" w:line="255" w:lineRule="auto"/>
        <w:rPr>
          <w:rFonts w:ascii="Arial" w:cs="Arial" w:eastAsia="Arial" w:hAnsi="Arial"/>
          <w:sz w:val="16"/>
          <w:szCs w:val="16"/>
          <w:b w:val="1"/>
          <w:bCs w:val="1"/>
          <w:color w:val="auto"/>
        </w:rPr>
      </w:pPr>
      <w:r>
        <w:rPr>
          <w:rFonts w:ascii="Arial" w:cs="Arial" w:eastAsia="Arial" w:hAnsi="Arial"/>
          <w:sz w:val="18"/>
          <w:szCs w:val="18"/>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93"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66"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340" w:type="dxa"/>
            <w:vAlign w:val="bottom"/>
          </w:tcPr>
          <w:p>
            <w:pPr>
              <w:spacing w:after="0"/>
              <w:rPr>
                <w:sz w:val="18"/>
                <w:szCs w:val="18"/>
                <w:color w:val="auto"/>
              </w:rPr>
            </w:pPr>
          </w:p>
        </w:tc>
        <w:tc>
          <w:tcPr>
            <w:tcW w:w="4380" w:type="dxa"/>
            <w:vAlign w:val="bottom"/>
          </w:tcPr>
          <w:p>
            <w:pPr>
              <w:jc w:val="center"/>
              <w:ind w:left="2270"/>
              <w:spacing w:after="0"/>
              <w:rPr>
                <w:sz w:val="20"/>
                <w:szCs w:val="20"/>
                <w:color w:val="auto"/>
              </w:rPr>
            </w:pPr>
            <w:r>
              <w:rPr>
                <w:rFonts w:ascii="Arial" w:cs="Arial" w:eastAsia="Arial" w:hAnsi="Arial"/>
                <w:sz w:val="18"/>
                <w:szCs w:val="18"/>
                <w:b w:val="1"/>
                <w:bCs w:val="1"/>
                <w:color w:val="auto"/>
                <w:w w:val="89"/>
              </w:rPr>
              <w:t>Change in</w:t>
            </w:r>
          </w:p>
        </w:tc>
        <w:tc>
          <w:tcPr>
            <w:tcW w:w="1740" w:type="dxa"/>
            <w:vAlign w:val="bottom"/>
            <w:gridSpan w:val="3"/>
          </w:tcPr>
          <w:p>
            <w:pPr>
              <w:jc w:val="right"/>
              <w:ind w:right="560"/>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40" w:type="dxa"/>
            <w:vAlign w:val="bottom"/>
          </w:tcPr>
          <w:p>
            <w:pPr>
              <w:spacing w:after="0"/>
              <w:rPr>
                <w:sz w:val="20"/>
                <w:szCs w:val="20"/>
                <w:color w:val="auto"/>
              </w:rPr>
            </w:pPr>
          </w:p>
        </w:tc>
        <w:tc>
          <w:tcPr>
            <w:tcW w:w="4380" w:type="dxa"/>
            <w:vAlign w:val="bottom"/>
          </w:tcPr>
          <w:p>
            <w:pPr>
              <w:jc w:val="center"/>
              <w:ind w:left="2270"/>
              <w:spacing w:after="0"/>
              <w:rPr>
                <w:sz w:val="20"/>
                <w:szCs w:val="20"/>
                <w:color w:val="auto"/>
              </w:rPr>
            </w:pPr>
            <w:r>
              <w:rPr>
                <w:rFonts w:ascii="Arial" w:cs="Arial" w:eastAsia="Arial" w:hAnsi="Arial"/>
                <w:sz w:val="18"/>
                <w:szCs w:val="18"/>
                <w:b w:val="1"/>
                <w:bCs w:val="1"/>
                <w:color w:val="auto"/>
                <w:w w:val="91"/>
              </w:rPr>
              <w:t>interest rate</w:t>
            </w:r>
          </w:p>
        </w:tc>
        <w:tc>
          <w:tcPr>
            <w:tcW w:w="1740" w:type="dxa"/>
            <w:vAlign w:val="bottom"/>
            <w:gridSpan w:val="3"/>
          </w:tcPr>
          <w:p>
            <w:pPr>
              <w:jc w:val="right"/>
              <w:ind w:right="640"/>
              <w:spacing w:after="0"/>
              <w:rPr>
                <w:sz w:val="20"/>
                <w:szCs w:val="20"/>
                <w:color w:val="auto"/>
              </w:rPr>
            </w:pPr>
            <w:r>
              <w:rPr>
                <w:rFonts w:ascii="Arial" w:cs="Arial" w:eastAsia="Arial" w:hAnsi="Arial"/>
                <w:sz w:val="18"/>
                <w:szCs w:val="18"/>
                <w:b w:val="1"/>
                <w:bCs w:val="1"/>
                <w:color w:val="auto"/>
              </w:rPr>
              <w:t>income</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September 30, 2018</w:t>
            </w:r>
          </w:p>
        </w:tc>
        <w:tc>
          <w:tcPr>
            <w:tcW w:w="4380" w:type="dxa"/>
            <w:vAlign w:val="bottom"/>
            <w:shd w:val="clear" w:color="auto" w:fill="CCEEFF"/>
          </w:tcPr>
          <w:p>
            <w:pPr>
              <w:jc w:val="center"/>
              <w:ind w:left="2270"/>
              <w:spacing w:after="0"/>
              <w:rPr>
                <w:sz w:val="20"/>
                <w:szCs w:val="20"/>
                <w:color w:val="auto"/>
              </w:rPr>
            </w:pPr>
            <w:r>
              <w:rPr>
                <w:rFonts w:ascii="Arial" w:cs="Arial" w:eastAsia="Arial" w:hAnsi="Arial"/>
                <w:sz w:val="18"/>
                <w:szCs w:val="18"/>
                <w:color w:val="auto"/>
                <w:w w:val="88"/>
              </w:rPr>
              <w:t>+200 bps</w:t>
            </w:r>
          </w:p>
        </w:tc>
        <w:tc>
          <w:tcPr>
            <w:tcW w:w="1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4,124</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Borders>
              <w:top w:val="single" w:sz="8" w:color="CCEEFF"/>
            </w:tcBorders>
          </w:tcPr>
          <w:p>
            <w:pPr>
              <w:spacing w:after="0" w:line="20" w:lineRule="exact"/>
              <w:rPr>
                <w:sz w:val="1"/>
                <w:szCs w:val="1"/>
                <w:color w:val="auto"/>
              </w:rPr>
            </w:pPr>
          </w:p>
        </w:tc>
        <w:tc>
          <w:tcPr>
            <w:tcW w:w="4380" w:type="dxa"/>
            <w:vAlign w:val="bottom"/>
            <w:tcBorders>
              <w:top w:val="single" w:sz="8" w:color="CCEEFF"/>
              <w:bottom w:val="single" w:sz="8" w:color="CCEEFF"/>
            </w:tcBorders>
            <w:vMerge w:val="restart"/>
          </w:tcPr>
          <w:p>
            <w:pPr>
              <w:jc w:val="center"/>
              <w:ind w:left="2270"/>
              <w:spacing w:after="0"/>
              <w:rPr>
                <w:sz w:val="20"/>
                <w:szCs w:val="20"/>
                <w:color w:val="auto"/>
              </w:rPr>
            </w:pPr>
            <w:r>
              <w:rPr>
                <w:rFonts w:ascii="Arial" w:cs="Arial" w:eastAsia="Arial" w:hAnsi="Arial"/>
                <w:sz w:val="18"/>
                <w:szCs w:val="18"/>
                <w:color w:val="auto"/>
                <w:w w:val="88"/>
              </w:rPr>
              <w:t>-200 bps</w:t>
            </w:r>
          </w:p>
        </w:tc>
        <w:tc>
          <w:tcPr>
            <w:tcW w:w="16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4340" w:type="dxa"/>
            <w:vAlign w:val="bottom"/>
            <w:tcBorders>
              <w:bottom w:val="single" w:sz="8" w:color="CCEEFF"/>
            </w:tcBorders>
          </w:tcPr>
          <w:p>
            <w:pPr>
              <w:spacing w:after="0"/>
              <w:rPr>
                <w:sz w:val="20"/>
                <w:szCs w:val="20"/>
                <w:color w:val="auto"/>
              </w:rPr>
            </w:pPr>
          </w:p>
        </w:tc>
        <w:tc>
          <w:tcPr>
            <w:tcW w:w="4380" w:type="dxa"/>
            <w:vAlign w:val="bottom"/>
            <w:tcBorders>
              <w:bottom w:val="single" w:sz="8" w:color="CCEEFF"/>
            </w:tcBorders>
            <w:vMerge w:val="continue"/>
          </w:tcPr>
          <w:p>
            <w:pPr>
              <w:spacing w:after="0"/>
              <w:rPr>
                <w:sz w:val="20"/>
                <w:szCs w:val="20"/>
                <w:color w:val="auto"/>
              </w:rPr>
            </w:pPr>
          </w:p>
        </w:tc>
        <w:tc>
          <w:tcPr>
            <w:tcW w:w="1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(3,037</w:t>
            </w:r>
          </w:p>
        </w:tc>
        <w:tc>
          <w:tcPr>
            <w:tcW w:w="8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340" w:type="dxa"/>
            <w:vAlign w:val="bottom"/>
            <w:shd w:val="clear" w:color="auto" w:fill="CCEEFF"/>
          </w:tcPr>
          <w:p>
            <w:pPr>
              <w:spacing w:after="0"/>
              <w:rPr>
                <w:sz w:val="17"/>
                <w:szCs w:val="17"/>
                <w:color w:val="auto"/>
              </w:rPr>
            </w:pPr>
          </w:p>
        </w:tc>
        <w:tc>
          <w:tcPr>
            <w:tcW w:w="4380" w:type="dxa"/>
            <w:vAlign w:val="bottom"/>
            <w:shd w:val="clear" w:color="auto" w:fill="CCEEFF"/>
          </w:tcPr>
          <w:p>
            <w:pPr>
              <w:spacing w:after="0"/>
              <w:rPr>
                <w:sz w:val="17"/>
                <w:szCs w:val="17"/>
                <w:color w:val="auto"/>
              </w:rPr>
            </w:pPr>
          </w:p>
        </w:tc>
        <w:tc>
          <w:tcPr>
            <w:tcW w:w="16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340" w:type="dxa"/>
            <w:vAlign w:val="bottom"/>
          </w:tcPr>
          <w:p>
            <w:pPr>
              <w:spacing w:after="0"/>
              <w:rPr>
                <w:sz w:val="20"/>
                <w:szCs w:val="20"/>
                <w:color w:val="auto"/>
              </w:rPr>
            </w:pPr>
            <w:r>
              <w:rPr>
                <w:rFonts w:ascii="Arial" w:cs="Arial" w:eastAsia="Arial" w:hAnsi="Arial"/>
                <w:sz w:val="18"/>
                <w:szCs w:val="18"/>
                <w:color w:val="auto"/>
              </w:rPr>
              <w:t>September 30, 2017</w:t>
            </w:r>
          </w:p>
        </w:tc>
        <w:tc>
          <w:tcPr>
            <w:tcW w:w="4380" w:type="dxa"/>
            <w:vAlign w:val="bottom"/>
          </w:tcPr>
          <w:p>
            <w:pPr>
              <w:jc w:val="center"/>
              <w:ind w:left="2270"/>
              <w:spacing w:after="0"/>
              <w:rPr>
                <w:sz w:val="20"/>
                <w:szCs w:val="20"/>
                <w:color w:val="auto"/>
              </w:rPr>
            </w:pPr>
            <w:r>
              <w:rPr>
                <w:rFonts w:ascii="Arial" w:cs="Arial" w:eastAsia="Arial" w:hAnsi="Arial"/>
                <w:sz w:val="18"/>
                <w:szCs w:val="18"/>
                <w:color w:val="auto"/>
                <w:w w:val="88"/>
              </w:rPr>
              <w:t>+200 bps</w:t>
            </w:r>
          </w:p>
        </w:tc>
        <w:tc>
          <w:tcPr>
            <w:tcW w:w="1680" w:type="dxa"/>
            <w:vAlign w:val="bottom"/>
            <w:gridSpan w:val="2"/>
          </w:tcPr>
          <w:p>
            <w:pPr>
              <w:jc w:val="right"/>
              <w:spacing w:after="0"/>
              <w:rPr>
                <w:sz w:val="20"/>
                <w:szCs w:val="20"/>
                <w:color w:val="auto"/>
              </w:rPr>
            </w:pPr>
            <w:r>
              <w:rPr>
                <w:rFonts w:ascii="Arial" w:cs="Arial" w:eastAsia="Arial" w:hAnsi="Arial"/>
                <w:sz w:val="18"/>
                <w:szCs w:val="18"/>
                <w:color w:val="auto"/>
              </w:rPr>
              <w:t>20,732</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340" w:type="dxa"/>
            <w:vAlign w:val="bottom"/>
            <w:tcBorders>
              <w:top w:val="single" w:sz="8" w:color="CCEEFF"/>
              <w:bottom w:val="single" w:sz="8" w:color="CCEEFF"/>
            </w:tcBorders>
            <w:shd w:val="clear" w:color="auto" w:fill="CCEEFF"/>
          </w:tcPr>
          <w:p>
            <w:pPr>
              <w:spacing w:after="0"/>
              <w:rPr>
                <w:sz w:val="17"/>
                <w:szCs w:val="17"/>
                <w:color w:val="auto"/>
              </w:rPr>
            </w:pPr>
          </w:p>
        </w:tc>
        <w:tc>
          <w:tcPr>
            <w:tcW w:w="4380" w:type="dxa"/>
            <w:vAlign w:val="bottom"/>
            <w:tcBorders>
              <w:top w:val="single" w:sz="8" w:color="CCEEFF"/>
              <w:bottom w:val="single" w:sz="8" w:color="CCEEFF"/>
            </w:tcBorders>
            <w:shd w:val="clear" w:color="auto" w:fill="CCEEFF"/>
          </w:tcPr>
          <w:p>
            <w:pPr>
              <w:jc w:val="center"/>
              <w:ind w:left="2270"/>
              <w:spacing w:after="0" w:line="190" w:lineRule="exact"/>
              <w:rPr>
                <w:sz w:val="20"/>
                <w:szCs w:val="20"/>
                <w:color w:val="auto"/>
              </w:rPr>
            </w:pPr>
            <w:r>
              <w:rPr>
                <w:rFonts w:ascii="Arial" w:cs="Arial" w:eastAsia="Arial" w:hAnsi="Arial"/>
                <w:sz w:val="18"/>
                <w:szCs w:val="18"/>
                <w:color w:val="auto"/>
                <w:w w:val="88"/>
              </w:rPr>
              <w:t>-200 bps</w:t>
            </w:r>
          </w:p>
        </w:tc>
        <w:tc>
          <w:tcPr>
            <w:tcW w:w="16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(5,018</w:t>
            </w:r>
          </w:p>
        </w:tc>
        <w:tc>
          <w:tcPr>
            <w:tcW w:w="80" w:type="dxa"/>
            <w:vAlign w:val="bottom"/>
            <w:tcBorders>
              <w:top w:val="single" w:sz="8" w:color="CCEEFF"/>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340" w:type="dxa"/>
            <w:vAlign w:val="bottom"/>
          </w:tcPr>
          <w:p>
            <w:pPr>
              <w:spacing w:after="0"/>
              <w:rPr>
                <w:sz w:val="17"/>
                <w:szCs w:val="17"/>
                <w:color w:val="auto"/>
              </w:rPr>
            </w:pPr>
          </w:p>
        </w:tc>
        <w:tc>
          <w:tcPr>
            <w:tcW w:w="4380" w:type="dxa"/>
            <w:vAlign w:val="bottom"/>
          </w:tcPr>
          <w:p>
            <w:pPr>
              <w:spacing w:after="0"/>
              <w:rPr>
                <w:sz w:val="17"/>
                <w:szCs w:val="17"/>
                <w:color w:val="auto"/>
              </w:rPr>
            </w:pPr>
          </w:p>
        </w:tc>
        <w:tc>
          <w:tcPr>
            <w:tcW w:w="16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September 30, 2016</w:t>
            </w:r>
          </w:p>
        </w:tc>
        <w:tc>
          <w:tcPr>
            <w:tcW w:w="4380" w:type="dxa"/>
            <w:vAlign w:val="bottom"/>
            <w:shd w:val="clear" w:color="auto" w:fill="CCEEFF"/>
          </w:tcPr>
          <w:p>
            <w:pPr>
              <w:jc w:val="center"/>
              <w:ind w:left="2270"/>
              <w:spacing w:after="0"/>
              <w:rPr>
                <w:sz w:val="20"/>
                <w:szCs w:val="20"/>
                <w:color w:val="auto"/>
              </w:rPr>
            </w:pPr>
            <w:r>
              <w:rPr>
                <w:rFonts w:ascii="Arial" w:cs="Arial" w:eastAsia="Arial" w:hAnsi="Arial"/>
                <w:sz w:val="18"/>
                <w:szCs w:val="18"/>
                <w:color w:val="auto"/>
                <w:w w:val="88"/>
              </w:rPr>
              <w:t>+200 bps</w:t>
            </w:r>
          </w:p>
        </w:tc>
        <w:tc>
          <w:tcPr>
            <w:tcW w:w="1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8,673</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Borders>
              <w:top w:val="single" w:sz="8" w:color="CCEEFF"/>
            </w:tcBorders>
          </w:tcPr>
          <w:p>
            <w:pPr>
              <w:spacing w:after="0" w:line="20" w:lineRule="exact"/>
              <w:rPr>
                <w:sz w:val="1"/>
                <w:szCs w:val="1"/>
                <w:color w:val="auto"/>
              </w:rPr>
            </w:pPr>
          </w:p>
        </w:tc>
        <w:tc>
          <w:tcPr>
            <w:tcW w:w="4380" w:type="dxa"/>
            <w:vAlign w:val="bottom"/>
            <w:tcBorders>
              <w:top w:val="single" w:sz="8" w:color="CCEEFF"/>
              <w:bottom w:val="single" w:sz="8" w:color="CCEEFF"/>
            </w:tcBorders>
            <w:vMerge w:val="restart"/>
          </w:tcPr>
          <w:p>
            <w:pPr>
              <w:jc w:val="center"/>
              <w:ind w:left="2270"/>
              <w:spacing w:after="0"/>
              <w:rPr>
                <w:sz w:val="20"/>
                <w:szCs w:val="20"/>
                <w:color w:val="auto"/>
              </w:rPr>
            </w:pPr>
            <w:r>
              <w:rPr>
                <w:rFonts w:ascii="Arial" w:cs="Arial" w:eastAsia="Arial" w:hAnsi="Arial"/>
                <w:sz w:val="18"/>
                <w:szCs w:val="18"/>
                <w:color w:val="auto"/>
                <w:w w:val="88"/>
              </w:rPr>
              <w:t>-200 bps</w:t>
            </w:r>
          </w:p>
        </w:tc>
        <w:tc>
          <w:tcPr>
            <w:tcW w:w="16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4340" w:type="dxa"/>
            <w:vAlign w:val="bottom"/>
          </w:tcPr>
          <w:p>
            <w:pPr>
              <w:spacing w:after="0"/>
              <w:rPr>
                <w:sz w:val="17"/>
                <w:szCs w:val="17"/>
                <w:color w:val="auto"/>
              </w:rPr>
            </w:pPr>
          </w:p>
        </w:tc>
        <w:tc>
          <w:tcPr>
            <w:tcW w:w="4380" w:type="dxa"/>
            <w:vAlign w:val="bottom"/>
            <w:vMerge w:val="continue"/>
          </w:tcPr>
          <w:p>
            <w:pPr>
              <w:spacing w:after="0"/>
              <w:rPr>
                <w:sz w:val="17"/>
                <w:szCs w:val="17"/>
                <w:color w:val="auto"/>
              </w:rPr>
            </w:pPr>
          </w:p>
        </w:tc>
        <w:tc>
          <w:tcPr>
            <w:tcW w:w="1660" w:type="dxa"/>
            <w:vAlign w:val="bottom"/>
          </w:tcPr>
          <w:p>
            <w:pPr>
              <w:jc w:val="right"/>
              <w:spacing w:after="0" w:line="196" w:lineRule="exact"/>
              <w:rPr>
                <w:sz w:val="20"/>
                <w:szCs w:val="20"/>
                <w:color w:val="auto"/>
              </w:rPr>
            </w:pPr>
            <w:r>
              <w:rPr>
                <w:rFonts w:ascii="Arial" w:cs="Arial" w:eastAsia="Arial" w:hAnsi="Arial"/>
                <w:sz w:val="18"/>
                <w:szCs w:val="18"/>
                <w:color w:val="auto"/>
              </w:rPr>
              <w:t>(8,206</w:t>
            </w:r>
          </w:p>
        </w:tc>
        <w:tc>
          <w:tcPr>
            <w:tcW w:w="8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16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This analysis is based on the prior year changes in interest rates and assesses the impact on income, with balances as of September 30, 2018 and December 31, 2017. This sensitivity provides an idea of the changes in interest rates, taking as example the volatility of the interest rate of the previous period.</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77" w:name="page78"/>
    <w:bookmarkEnd w:id="7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5" w:lineRule="auto"/>
        <w:tabs>
          <w:tab w:leader="none" w:pos="340" w:val="left"/>
        </w:tabs>
        <w:numPr>
          <w:ilvl w:val="0"/>
          <w:numId w:val="9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Risk management (continued) Market risk (continued) </w:t>
      </w:r>
      <w:r>
        <w:rPr>
          <w:rFonts w:ascii="Arial" w:cs="Arial" w:eastAsia="Arial" w:hAnsi="Arial"/>
          <w:sz w:val="16"/>
          <w:szCs w:val="16"/>
          <w:u w:val="single" w:color="auto"/>
          <w:color w:val="auto"/>
        </w:rPr>
        <w:t>Interest rate risk</w:t>
      </w:r>
      <w:r>
        <w:rPr>
          <w:rFonts w:ascii="Arial" w:cs="Arial" w:eastAsia="Arial" w:hAnsi="Arial"/>
          <w:sz w:val="16"/>
          <w:szCs w:val="16"/>
          <w:color w:val="auto"/>
        </w:rPr>
        <w:t xml:space="preserve"> (continued)</w:t>
      </w:r>
    </w:p>
    <w:p>
      <w:pPr>
        <w:spacing w:after="0" w:line="1"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4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380" w:type="dxa"/>
            <w:vAlign w:val="bottom"/>
            <w:tcBorders>
              <w:bottom w:val="single" w:sz="8" w:color="auto"/>
            </w:tcBorders>
            <w:gridSpan w:val="4"/>
          </w:tcPr>
          <w:p>
            <w:pPr>
              <w:jc w:val="right"/>
              <w:ind w:right="500"/>
              <w:spacing w:after="0"/>
              <w:rPr>
                <w:sz w:val="20"/>
                <w:szCs w:val="20"/>
                <w:color w:val="auto"/>
              </w:rPr>
            </w:pPr>
            <w:r>
              <w:rPr>
                <w:rFonts w:ascii="Arial" w:cs="Arial" w:eastAsia="Arial" w:hAnsi="Arial"/>
                <w:sz w:val="18"/>
                <w:szCs w:val="18"/>
                <w:b w:val="1"/>
                <w:bCs w:val="1"/>
                <w:color w:val="auto"/>
              </w:rPr>
              <w:t>September 30, 2018</w:t>
            </w:r>
          </w:p>
        </w:tc>
        <w:tc>
          <w:tcPr>
            <w:tcW w:w="9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840" w:type="dxa"/>
            <w:vAlign w:val="bottom"/>
            <w:vMerge w:val="restart"/>
          </w:tcPr>
          <w:p>
            <w:pPr>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right"/>
              <w:ind w:right="460"/>
              <w:spacing w:after="0" w:line="191" w:lineRule="exact"/>
              <w:rPr>
                <w:sz w:val="20"/>
                <w:szCs w:val="20"/>
                <w:color w:val="auto"/>
              </w:rPr>
            </w:pPr>
            <w:r>
              <w:rPr>
                <w:rFonts w:ascii="Arial" w:cs="Arial" w:eastAsia="Arial" w:hAnsi="Arial"/>
                <w:sz w:val="18"/>
                <w:szCs w:val="18"/>
                <w:b w:val="1"/>
                <w:bCs w:val="1"/>
                <w:color w:val="auto"/>
              </w:rPr>
              <w:t>Up to 3</w:t>
            </w:r>
          </w:p>
        </w:tc>
        <w:tc>
          <w:tcPr>
            <w:tcW w:w="12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3 to 6</w:t>
            </w:r>
          </w:p>
        </w:tc>
        <w:tc>
          <w:tcPr>
            <w:tcW w:w="1180" w:type="dxa"/>
            <w:vAlign w:val="bottom"/>
            <w:gridSpan w:val="2"/>
          </w:tcPr>
          <w:p>
            <w:pPr>
              <w:ind w:left="140"/>
              <w:spacing w:after="0" w:line="191" w:lineRule="exact"/>
              <w:rPr>
                <w:sz w:val="20"/>
                <w:szCs w:val="20"/>
                <w:color w:val="auto"/>
              </w:rPr>
            </w:pPr>
            <w:r>
              <w:rPr>
                <w:rFonts w:ascii="Arial" w:cs="Arial" w:eastAsia="Arial" w:hAnsi="Arial"/>
                <w:sz w:val="18"/>
                <w:szCs w:val="18"/>
                <w:b w:val="1"/>
                <w:bCs w:val="1"/>
                <w:color w:val="auto"/>
              </w:rPr>
              <w:t>6 months</w:t>
            </w: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92"/>
              </w:rPr>
              <w:t>More than</w:t>
            </w: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840" w:type="dxa"/>
            <w:vAlign w:val="bottom"/>
            <w:vMerge w:val="continue"/>
          </w:tcPr>
          <w:p>
            <w:pPr>
              <w:spacing w:after="0"/>
              <w:rPr>
                <w:sz w:val="20"/>
                <w:szCs w:val="20"/>
                <w:color w:val="auto"/>
              </w:rPr>
            </w:pP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months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months</w:t>
            </w:r>
          </w:p>
        </w:tc>
        <w:tc>
          <w:tcPr>
            <w:tcW w:w="1180" w:type="dxa"/>
            <w:vAlign w:val="bottom"/>
            <w:gridSpan w:val="2"/>
          </w:tcPr>
          <w:p>
            <w:pPr>
              <w:ind w:left="160"/>
              <w:spacing w:after="0"/>
              <w:rPr>
                <w:sz w:val="20"/>
                <w:szCs w:val="20"/>
                <w:color w:val="auto"/>
              </w:rPr>
            </w:pPr>
            <w:r>
              <w:rPr>
                <w:rFonts w:ascii="Arial" w:cs="Arial" w:eastAsia="Arial" w:hAnsi="Arial"/>
                <w:sz w:val="18"/>
                <w:szCs w:val="18"/>
                <w:b w:val="1"/>
                <w:bCs w:val="1"/>
                <w:color w:val="auto"/>
              </w:rPr>
              <w:t>to 1 year</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2"/>
              </w:rPr>
              <w:t>1 to 5 years</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5 years</w:t>
            </w:r>
          </w:p>
        </w:tc>
        <w:tc>
          <w:tcPr>
            <w:tcW w:w="108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Investments securities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1,611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12,959</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18,044</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60,392</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93,006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5,527</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5,527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Loans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4,188,420</w:t>
            </w:r>
          </w:p>
        </w:tc>
        <w:tc>
          <w:tcPr>
            <w:tcW w:w="1000" w:type="dxa"/>
            <w:vAlign w:val="bottom"/>
          </w:tcPr>
          <w:p>
            <w:pPr>
              <w:jc w:val="right"/>
              <w:spacing w:after="0"/>
              <w:rPr>
                <w:sz w:val="20"/>
                <w:szCs w:val="20"/>
                <w:color w:val="auto"/>
              </w:rPr>
            </w:pPr>
            <w:r>
              <w:rPr>
                <w:rFonts w:ascii="Arial" w:cs="Arial" w:eastAsia="Arial" w:hAnsi="Arial"/>
                <w:sz w:val="18"/>
                <w:szCs w:val="18"/>
                <w:color w:val="auto"/>
              </w:rPr>
              <w:t>885,102</w:t>
            </w:r>
          </w:p>
        </w:tc>
        <w:tc>
          <w:tcPr>
            <w:tcW w:w="220" w:type="dxa"/>
            <w:vAlign w:val="bottom"/>
          </w:tcPr>
          <w:p>
            <w:pPr>
              <w:spacing w:after="0"/>
              <w:rPr>
                <w:sz w:val="19"/>
                <w:szCs w:val="19"/>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426,030</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214,373</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10,593</w:t>
            </w:r>
          </w:p>
        </w:tc>
        <w:tc>
          <w:tcPr>
            <w:tcW w:w="980" w:type="dxa"/>
            <w:vAlign w:val="bottom"/>
          </w:tcPr>
          <w:p>
            <w:pPr>
              <w:jc w:val="right"/>
              <w:spacing w:after="0"/>
              <w:rPr>
                <w:sz w:val="20"/>
                <w:szCs w:val="20"/>
                <w:color w:val="auto"/>
              </w:rPr>
            </w:pPr>
            <w:r>
              <w:rPr>
                <w:rFonts w:ascii="Arial" w:cs="Arial" w:eastAsia="Arial" w:hAnsi="Arial"/>
                <w:sz w:val="18"/>
                <w:szCs w:val="18"/>
                <w:color w:val="auto"/>
              </w:rPr>
              <w:t>5,724,518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4,190,031</w:t>
            </w: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898,061</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444,074</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274,765</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16,120</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5,823,051</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Deposits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2,034,263</w:t>
            </w:r>
          </w:p>
        </w:tc>
        <w:tc>
          <w:tcPr>
            <w:tcW w:w="1000" w:type="dxa"/>
            <w:vAlign w:val="bottom"/>
          </w:tcPr>
          <w:p>
            <w:pPr>
              <w:jc w:val="right"/>
              <w:spacing w:after="0"/>
              <w:rPr>
                <w:sz w:val="20"/>
                <w:szCs w:val="20"/>
                <w:color w:val="auto"/>
              </w:rPr>
            </w:pPr>
            <w:r>
              <w:rPr>
                <w:rFonts w:ascii="Arial" w:cs="Arial" w:eastAsia="Arial" w:hAnsi="Arial"/>
                <w:sz w:val="18"/>
                <w:szCs w:val="18"/>
                <w:color w:val="auto"/>
              </w:rPr>
              <w:t>366,460</w:t>
            </w:r>
          </w:p>
        </w:tc>
        <w:tc>
          <w:tcPr>
            <w:tcW w:w="220" w:type="dxa"/>
            <w:vAlign w:val="bottom"/>
          </w:tcPr>
          <w:p>
            <w:pPr>
              <w:spacing w:after="0"/>
              <w:rPr>
                <w:sz w:val="18"/>
                <w:szCs w:val="18"/>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298,681</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2,699,404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11,536</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28,231</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39,767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Short and long-term borrowings and debt, net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1,945,586</w:t>
            </w:r>
          </w:p>
        </w:tc>
        <w:tc>
          <w:tcPr>
            <w:tcW w:w="1000" w:type="dxa"/>
            <w:vAlign w:val="bottom"/>
          </w:tcPr>
          <w:p>
            <w:pPr>
              <w:jc w:val="right"/>
              <w:spacing w:after="0"/>
              <w:rPr>
                <w:sz w:val="20"/>
                <w:szCs w:val="20"/>
                <w:color w:val="auto"/>
              </w:rPr>
            </w:pPr>
            <w:r>
              <w:rPr>
                <w:rFonts w:ascii="Arial" w:cs="Arial" w:eastAsia="Arial" w:hAnsi="Arial"/>
                <w:sz w:val="18"/>
                <w:szCs w:val="18"/>
                <w:color w:val="auto"/>
              </w:rPr>
              <w:t>152,616</w:t>
            </w:r>
          </w:p>
        </w:tc>
        <w:tc>
          <w:tcPr>
            <w:tcW w:w="220" w:type="dxa"/>
            <w:vAlign w:val="bottom"/>
          </w:tcPr>
          <w:p>
            <w:pPr>
              <w:spacing w:after="0"/>
              <w:rPr>
                <w:sz w:val="19"/>
                <w:szCs w:val="19"/>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92,522</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410,118</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60,713</w:t>
            </w:r>
          </w:p>
        </w:tc>
        <w:tc>
          <w:tcPr>
            <w:tcW w:w="980" w:type="dxa"/>
            <w:vAlign w:val="bottom"/>
          </w:tcPr>
          <w:p>
            <w:pPr>
              <w:jc w:val="right"/>
              <w:spacing w:after="0"/>
              <w:rPr>
                <w:sz w:val="20"/>
                <w:szCs w:val="20"/>
                <w:color w:val="auto"/>
              </w:rPr>
            </w:pPr>
            <w:r>
              <w:rPr>
                <w:rFonts w:ascii="Arial" w:cs="Arial" w:eastAsia="Arial" w:hAnsi="Arial"/>
                <w:sz w:val="18"/>
                <w:szCs w:val="18"/>
                <w:color w:val="auto"/>
              </w:rPr>
              <w:t>2,661,555</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3,979,849</w:t>
            </w: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530,612</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419,434</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410,118</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60,713</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5,400,726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210,182</w:t>
            </w:r>
          </w:p>
        </w:tc>
        <w:tc>
          <w:tcPr>
            <w:tcW w:w="240" w:type="dxa"/>
            <w:vAlign w:val="bottom"/>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367,449</w:t>
            </w:r>
          </w:p>
        </w:tc>
        <w:tc>
          <w:tcPr>
            <w:tcW w:w="22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24,640</w:t>
            </w:r>
          </w:p>
        </w:tc>
        <w:tc>
          <w:tcPr>
            <w:tcW w:w="2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(135,353</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(44,593</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422,325</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84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380" w:type="dxa"/>
            <w:vAlign w:val="bottom"/>
            <w:tcBorders>
              <w:bottom w:val="single" w:sz="8" w:color="auto"/>
            </w:tcBorders>
            <w:gridSpan w:val="4"/>
          </w:tcPr>
          <w:p>
            <w:pPr>
              <w:jc w:val="right"/>
              <w:ind w:right="540"/>
              <w:spacing w:after="0"/>
              <w:rPr>
                <w:sz w:val="20"/>
                <w:szCs w:val="20"/>
                <w:color w:val="auto"/>
              </w:rPr>
            </w:pPr>
            <w:r>
              <w:rPr>
                <w:rFonts w:ascii="Arial" w:cs="Arial" w:eastAsia="Arial" w:hAnsi="Arial"/>
                <w:sz w:val="18"/>
                <w:szCs w:val="18"/>
                <w:b w:val="1"/>
                <w:bCs w:val="1"/>
                <w:color w:val="auto"/>
              </w:rPr>
              <w:t>December 31, 2017</w:t>
            </w: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840" w:type="dxa"/>
            <w:vAlign w:val="bottom"/>
            <w:vMerge w:val="restart"/>
          </w:tcPr>
          <w:p>
            <w:pPr>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right"/>
              <w:ind w:right="460"/>
              <w:spacing w:after="0" w:line="191" w:lineRule="exact"/>
              <w:rPr>
                <w:sz w:val="20"/>
                <w:szCs w:val="20"/>
                <w:color w:val="auto"/>
              </w:rPr>
            </w:pPr>
            <w:r>
              <w:rPr>
                <w:rFonts w:ascii="Arial" w:cs="Arial" w:eastAsia="Arial" w:hAnsi="Arial"/>
                <w:sz w:val="18"/>
                <w:szCs w:val="18"/>
                <w:b w:val="1"/>
                <w:bCs w:val="1"/>
                <w:color w:val="auto"/>
              </w:rPr>
              <w:t>Up to 3</w:t>
            </w:r>
          </w:p>
        </w:tc>
        <w:tc>
          <w:tcPr>
            <w:tcW w:w="12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3 to 6</w:t>
            </w:r>
          </w:p>
        </w:tc>
        <w:tc>
          <w:tcPr>
            <w:tcW w:w="1180" w:type="dxa"/>
            <w:vAlign w:val="bottom"/>
            <w:gridSpan w:val="2"/>
          </w:tcPr>
          <w:p>
            <w:pPr>
              <w:ind w:left="140"/>
              <w:spacing w:after="0" w:line="191" w:lineRule="exact"/>
              <w:rPr>
                <w:sz w:val="20"/>
                <w:szCs w:val="20"/>
                <w:color w:val="auto"/>
              </w:rPr>
            </w:pPr>
            <w:r>
              <w:rPr>
                <w:rFonts w:ascii="Arial" w:cs="Arial" w:eastAsia="Arial" w:hAnsi="Arial"/>
                <w:sz w:val="18"/>
                <w:szCs w:val="18"/>
                <w:b w:val="1"/>
                <w:bCs w:val="1"/>
                <w:color w:val="auto"/>
              </w:rPr>
              <w:t>6 months</w:t>
            </w: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92"/>
              </w:rPr>
              <w:t>More than</w:t>
            </w: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840" w:type="dxa"/>
            <w:vAlign w:val="bottom"/>
            <w:vMerge w:val="continue"/>
          </w:tcPr>
          <w:p>
            <w:pPr>
              <w:spacing w:after="0"/>
              <w:rPr>
                <w:sz w:val="20"/>
                <w:szCs w:val="20"/>
                <w:color w:val="auto"/>
              </w:rPr>
            </w:pP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months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months</w:t>
            </w:r>
          </w:p>
        </w:tc>
        <w:tc>
          <w:tcPr>
            <w:tcW w:w="1180" w:type="dxa"/>
            <w:vAlign w:val="bottom"/>
            <w:gridSpan w:val="2"/>
          </w:tcPr>
          <w:p>
            <w:pPr>
              <w:ind w:left="160"/>
              <w:spacing w:after="0"/>
              <w:rPr>
                <w:sz w:val="20"/>
                <w:szCs w:val="20"/>
                <w:color w:val="auto"/>
              </w:rPr>
            </w:pPr>
            <w:r>
              <w:rPr>
                <w:rFonts w:ascii="Arial" w:cs="Arial" w:eastAsia="Arial" w:hAnsi="Arial"/>
                <w:sz w:val="18"/>
                <w:szCs w:val="18"/>
                <w:b w:val="1"/>
                <w:bCs w:val="1"/>
                <w:color w:val="auto"/>
              </w:rPr>
              <w:t>to 1 year</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2"/>
              </w:rPr>
              <w:t>1 to 5 years</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5 years</w:t>
            </w:r>
          </w:p>
        </w:tc>
        <w:tc>
          <w:tcPr>
            <w:tcW w:w="108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Investments securities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700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279</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7,000</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77,688</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85,667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Loans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4,067,639</w:t>
            </w:r>
          </w:p>
        </w:tc>
        <w:tc>
          <w:tcPr>
            <w:tcW w:w="1000" w:type="dxa"/>
            <w:vAlign w:val="bottom"/>
          </w:tcPr>
          <w:p>
            <w:pPr>
              <w:jc w:val="right"/>
              <w:spacing w:after="0"/>
              <w:rPr>
                <w:sz w:val="20"/>
                <w:szCs w:val="20"/>
                <w:color w:val="auto"/>
              </w:rPr>
            </w:pPr>
            <w:r>
              <w:rPr>
                <w:rFonts w:ascii="Arial" w:cs="Arial" w:eastAsia="Arial" w:hAnsi="Arial"/>
                <w:sz w:val="18"/>
                <w:szCs w:val="18"/>
                <w:color w:val="auto"/>
              </w:rPr>
              <w:t>952,542</w:t>
            </w:r>
          </w:p>
        </w:tc>
        <w:tc>
          <w:tcPr>
            <w:tcW w:w="220" w:type="dxa"/>
            <w:vAlign w:val="bottom"/>
          </w:tcPr>
          <w:p>
            <w:pPr>
              <w:spacing w:after="0"/>
              <w:rPr>
                <w:sz w:val="19"/>
                <w:szCs w:val="19"/>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301,334</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173,550</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10,593</w:t>
            </w:r>
          </w:p>
        </w:tc>
        <w:tc>
          <w:tcPr>
            <w:tcW w:w="980" w:type="dxa"/>
            <w:vAlign w:val="bottom"/>
          </w:tcPr>
          <w:p>
            <w:pPr>
              <w:jc w:val="right"/>
              <w:spacing w:after="0"/>
              <w:rPr>
                <w:sz w:val="20"/>
                <w:szCs w:val="20"/>
                <w:color w:val="auto"/>
              </w:rPr>
            </w:pPr>
            <w:r>
              <w:rPr>
                <w:rFonts w:ascii="Arial" w:cs="Arial" w:eastAsia="Arial" w:hAnsi="Arial"/>
                <w:sz w:val="18"/>
                <w:szCs w:val="18"/>
                <w:color w:val="auto"/>
              </w:rPr>
              <w:t>5,505,658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4,068,339</w:t>
            </w: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952,821</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308,334</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251,238</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18,995</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5,599,727</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Deposits</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2,242,220</w:t>
            </w:r>
          </w:p>
        </w:tc>
        <w:tc>
          <w:tcPr>
            <w:tcW w:w="1000" w:type="dxa"/>
            <w:vAlign w:val="bottom"/>
          </w:tcPr>
          <w:p>
            <w:pPr>
              <w:jc w:val="right"/>
              <w:spacing w:after="0"/>
              <w:rPr>
                <w:sz w:val="20"/>
                <w:szCs w:val="20"/>
                <w:color w:val="auto"/>
              </w:rPr>
            </w:pPr>
            <w:r>
              <w:rPr>
                <w:rFonts w:ascii="Arial" w:cs="Arial" w:eastAsia="Arial" w:hAnsi="Arial"/>
                <w:sz w:val="18"/>
                <w:szCs w:val="18"/>
                <w:color w:val="auto"/>
              </w:rPr>
              <w:t>305,415</w:t>
            </w:r>
          </w:p>
        </w:tc>
        <w:tc>
          <w:tcPr>
            <w:tcW w:w="220" w:type="dxa"/>
            <w:vAlign w:val="bottom"/>
          </w:tcPr>
          <w:p>
            <w:pPr>
              <w:spacing w:after="0"/>
              <w:rPr>
                <w:sz w:val="18"/>
                <w:szCs w:val="18"/>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197,060</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102,085</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2,846,780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Short and long-term borrowings and debt, net</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1,585,145</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2,538</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85,232</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482,814</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55,838</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2,211,567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3,827,365</w:t>
            </w:r>
          </w:p>
        </w:tc>
        <w:tc>
          <w:tcPr>
            <w:tcW w:w="24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307,953</w:t>
            </w:r>
          </w:p>
        </w:tc>
        <w:tc>
          <w:tcPr>
            <w:tcW w:w="220" w:type="dxa"/>
            <w:vAlign w:val="bottom"/>
            <w:tcBorders>
              <w:bottom w:val="single" w:sz="8" w:color="CCEEFF"/>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282,292</w:t>
            </w:r>
          </w:p>
        </w:tc>
        <w:tc>
          <w:tcPr>
            <w:tcW w:w="200" w:type="dxa"/>
            <w:vAlign w:val="bottom"/>
            <w:tcBorders>
              <w:bottom w:val="single" w:sz="8" w:color="CCEEFF"/>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584,899</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55,838</w:t>
            </w:r>
          </w:p>
        </w:tc>
        <w:tc>
          <w:tcPr>
            <w:tcW w:w="220" w:type="dxa"/>
            <w:vAlign w:val="bottom"/>
            <w:tcBorders>
              <w:bottom w:val="single" w:sz="8" w:color="CCEEFF"/>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5,058,347</w:t>
            </w:r>
          </w:p>
        </w:tc>
        <w:tc>
          <w:tcPr>
            <w:tcW w:w="10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8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rate sensibility</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240,974</w:t>
            </w:r>
          </w:p>
        </w:tc>
        <w:tc>
          <w:tcPr>
            <w:tcW w:w="240" w:type="dxa"/>
            <w:vAlign w:val="bottom"/>
            <w:tcBorders>
              <w:bottom w:val="single" w:sz="8" w:color="CCEEFF"/>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644,868</w:t>
            </w:r>
          </w:p>
        </w:tc>
        <w:tc>
          <w:tcPr>
            <w:tcW w:w="220" w:type="dxa"/>
            <w:vAlign w:val="bottom"/>
            <w:tcBorders>
              <w:bottom w:val="single" w:sz="8" w:color="CCEEFF"/>
            </w:tcBorders>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26,042</w:t>
            </w:r>
          </w:p>
        </w:tc>
        <w:tc>
          <w:tcPr>
            <w:tcW w:w="200" w:type="dxa"/>
            <w:vAlign w:val="bottom"/>
            <w:tcBorders>
              <w:bottom w:val="single" w:sz="8" w:color="CCEEFF"/>
            </w:tcBorders>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(333,661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(36,843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541,380</w:t>
            </w:r>
          </w:p>
        </w:tc>
        <w:tc>
          <w:tcPr>
            <w:tcW w:w="100" w:type="dxa"/>
            <w:vAlign w:val="bottom"/>
            <w:tcBorders>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color w:val="auto"/>
              </w:rPr>
              <w:t>75</w:t>
            </w: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78" w:name="page79"/>
    <w:bookmarkEnd w:id="7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02" w:lineRule="auto"/>
        <w:tabs>
          <w:tab w:leader="none" w:pos="340" w:val="left"/>
        </w:tabs>
        <w:numPr>
          <w:ilvl w:val="0"/>
          <w:numId w:val="92"/>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Risk management (continued) Market risk (continued) </w:t>
      </w:r>
      <w:r>
        <w:rPr>
          <w:rFonts w:ascii="Arial" w:cs="Arial" w:eastAsia="Arial" w:hAnsi="Arial"/>
          <w:sz w:val="18"/>
          <w:szCs w:val="18"/>
          <w:u w:val="single" w:color="auto"/>
          <w:color w:val="auto"/>
        </w:rPr>
        <w:t>Currency risk</w:t>
      </w:r>
    </w:p>
    <w:p>
      <w:pPr>
        <w:spacing w:after="0" w:line="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Most of the Bank’s assets and most of its liabilities are denominated in US American Dollars and hence the Bank does not incur a significant currency exchange risk. The currency exchange rate risk is mitigated using derivatives, which, although perfectly covered economically, may generate a certain accounting volatility.</w:t>
      </w:r>
    </w:p>
    <w:p>
      <w:pPr>
        <w:spacing w:after="0" w:line="181"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40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6"/>
          </w:tcPr>
          <w:p>
            <w:pPr>
              <w:ind w:left="720"/>
              <w:spacing w:after="0"/>
              <w:rPr>
                <w:sz w:val="20"/>
                <w:szCs w:val="20"/>
                <w:color w:val="auto"/>
              </w:rPr>
            </w:pPr>
            <w:r>
              <w:rPr>
                <w:rFonts w:ascii="Arial" w:cs="Arial" w:eastAsia="Arial" w:hAnsi="Arial"/>
                <w:sz w:val="18"/>
                <w:szCs w:val="18"/>
                <w:b w:val="1"/>
                <w:bCs w:val="1"/>
                <w:color w:val="auto"/>
              </w:rPr>
              <w:t>September 30, 2018</w:t>
            </w: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6"/>
        </w:trPr>
        <w:tc>
          <w:tcPr>
            <w:tcW w:w="3400" w:type="dxa"/>
            <w:vAlign w:val="bottom"/>
          </w:tcPr>
          <w:p>
            <w:pPr>
              <w:spacing w:after="0"/>
              <w:rPr>
                <w:sz w:val="17"/>
                <w:szCs w:val="17"/>
                <w:color w:val="auto"/>
              </w:rPr>
            </w:pPr>
          </w:p>
        </w:tc>
        <w:tc>
          <w:tcPr>
            <w:tcW w:w="114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3"/>
              </w:rPr>
              <w:t>Brazilian</w:t>
            </w:r>
          </w:p>
        </w:tc>
        <w:tc>
          <w:tcPr>
            <w:tcW w:w="11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9"/>
              </w:rPr>
              <w:t>European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5"/>
              </w:rPr>
              <w:t>Japanese</w:t>
            </w:r>
          </w:p>
        </w:tc>
        <w:tc>
          <w:tcPr>
            <w:tcW w:w="10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2"/>
              </w:rPr>
              <w:t>Mexican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40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Real</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Yen</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0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70"/>
        </w:trPr>
        <w:tc>
          <w:tcPr>
            <w:tcW w:w="3400" w:type="dxa"/>
            <w:vAlign w:val="bottom"/>
          </w:tcPr>
          <w:p>
            <w:pPr>
              <w:spacing w:after="0"/>
              <w:rPr>
                <w:sz w:val="23"/>
                <w:szCs w:val="23"/>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 US$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96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4.0496</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1.1610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113.635</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2972</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18.7103</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4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762</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16</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860" w:type="dxa"/>
            <w:vAlign w:val="bottom"/>
          </w:tcPr>
          <w:p>
            <w:pPr>
              <w:jc w:val="right"/>
              <w:spacing w:after="0"/>
              <w:rPr>
                <w:sz w:val="20"/>
                <w:szCs w:val="20"/>
                <w:color w:val="auto"/>
              </w:rPr>
            </w:pPr>
            <w:r>
              <w:rPr>
                <w:rFonts w:ascii="Arial" w:cs="Arial" w:eastAsia="Arial" w:hAnsi="Arial"/>
                <w:sz w:val="18"/>
                <w:szCs w:val="18"/>
                <w:color w:val="auto"/>
              </w:rPr>
              <w:t>45</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7,087</w:t>
            </w:r>
          </w:p>
        </w:tc>
        <w:tc>
          <w:tcPr>
            <w:tcW w:w="22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115</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8,027</w:t>
            </w:r>
          </w:p>
        </w:tc>
        <w:tc>
          <w:tcPr>
            <w:tcW w:w="80" w:type="dxa"/>
            <w:vAlign w:val="bottom"/>
          </w:tcPr>
          <w:p>
            <w:pPr>
              <w:spacing w:after="0"/>
              <w:rPr>
                <w:sz w:val="18"/>
                <w:szCs w:val="18"/>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30"/>
        </w:trPr>
        <w:tc>
          <w:tcPr>
            <w:tcW w:w="3400" w:type="dxa"/>
            <w:vAlign w:val="bottom"/>
          </w:tcPr>
          <w:p>
            <w:pPr>
              <w:spacing w:after="0"/>
              <w:rPr>
                <w:sz w:val="20"/>
                <w:szCs w:val="20"/>
                <w:color w:val="auto"/>
              </w:rPr>
            </w:pPr>
            <w:r>
              <w:rPr>
                <w:rFonts w:ascii="Arial" w:cs="Arial" w:eastAsia="Arial" w:hAnsi="Arial"/>
                <w:sz w:val="18"/>
                <w:szCs w:val="18"/>
                <w:color w:val="auto"/>
              </w:rPr>
              <w:t>Loans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207,183</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207,183</w:t>
            </w:r>
          </w:p>
        </w:tc>
        <w:tc>
          <w:tcPr>
            <w:tcW w:w="80" w:type="dxa"/>
            <w:vAlign w:val="bottom"/>
          </w:tcPr>
          <w:p>
            <w:pPr>
              <w:spacing w:after="0"/>
              <w:rPr>
                <w:sz w:val="19"/>
                <w:szCs w:val="19"/>
                <w:color w:val="auto"/>
              </w:rPr>
            </w:pPr>
          </w:p>
        </w:tc>
      </w:tr>
      <w:tr>
        <w:trPr>
          <w:trHeight w:val="223"/>
        </w:trPr>
        <w:tc>
          <w:tcPr>
            <w:tcW w:w="3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762</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214,270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215,210</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34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Borrowings and deposit placements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213,402</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213,402</w:t>
            </w:r>
          </w:p>
        </w:tc>
        <w:tc>
          <w:tcPr>
            <w:tcW w:w="80" w:type="dxa"/>
            <w:vAlign w:val="bottom"/>
          </w:tcPr>
          <w:p>
            <w:pPr>
              <w:spacing w:after="0"/>
              <w:rPr>
                <w:sz w:val="18"/>
                <w:szCs w:val="18"/>
                <w:color w:val="auto"/>
              </w:rPr>
            </w:pPr>
          </w:p>
        </w:tc>
      </w:tr>
      <w:tr>
        <w:trPr>
          <w:trHeight w:val="230"/>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63"/>
        </w:trPr>
        <w:tc>
          <w:tcPr>
            <w:tcW w:w="34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213,402</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213,402</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34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3"/>
        </w:trPr>
        <w:tc>
          <w:tcPr>
            <w:tcW w:w="3400" w:type="dxa"/>
            <w:vAlign w:val="bottom"/>
          </w:tcPr>
          <w:p>
            <w:pPr>
              <w:spacing w:after="0"/>
              <w:rPr>
                <w:sz w:val="20"/>
                <w:szCs w:val="20"/>
                <w:color w:val="auto"/>
              </w:rPr>
            </w:pPr>
            <w:r>
              <w:rPr>
                <w:rFonts w:ascii="Arial" w:cs="Arial" w:eastAsia="Arial" w:hAnsi="Arial"/>
                <w:sz w:val="18"/>
                <w:szCs w:val="18"/>
                <w:b w:val="1"/>
                <w:bCs w:val="1"/>
                <w:color w:val="auto"/>
              </w:rPr>
              <w:t>Net currency position</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762</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16</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45</w:t>
            </w:r>
          </w:p>
        </w:tc>
        <w:tc>
          <w:tcPr>
            <w:tcW w:w="220" w:type="dxa"/>
            <w:vAlign w:val="bottom"/>
          </w:tcPr>
          <w:p>
            <w:pPr>
              <w:spacing w:after="0"/>
              <w:rPr>
                <w:sz w:val="21"/>
                <w:szCs w:val="21"/>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868</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115</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1,808</w:t>
            </w:r>
          </w:p>
        </w:tc>
        <w:tc>
          <w:tcPr>
            <w:tcW w:w="80" w:type="dxa"/>
            <w:vAlign w:val="bottom"/>
          </w:tcPr>
          <w:p>
            <w:pPr>
              <w:spacing w:after="0"/>
              <w:rPr>
                <w:sz w:val="21"/>
                <w:szCs w:val="21"/>
                <w:color w:val="auto"/>
              </w:rPr>
            </w:pPr>
          </w:p>
        </w:tc>
      </w:tr>
      <w:tr>
        <w:trPr>
          <w:trHeight w:val="20"/>
        </w:trPr>
        <w:tc>
          <w:tcPr>
            <w:tcW w:w="340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10" w:lineRule="exact"/>
        <w:rPr>
          <w:sz w:val="20"/>
          <w:szCs w:val="20"/>
          <w:color w:val="auto"/>
        </w:rPr>
      </w:pPr>
    </w:p>
    <w:p>
      <w:pPr>
        <w:ind w:left="980" w:hanging="324"/>
        <w:spacing w:after="0"/>
        <w:tabs>
          <w:tab w:leader="none" w:pos="980" w:val="left"/>
        </w:tabs>
        <w:numPr>
          <w:ilvl w:val="0"/>
          <w:numId w:val="93"/>
        </w:numPr>
        <w:rPr>
          <w:rFonts w:ascii="Arial" w:cs="Arial" w:eastAsia="Arial" w:hAnsi="Arial"/>
          <w:sz w:val="28"/>
          <w:szCs w:val="28"/>
          <w:b w:val="1"/>
          <w:bCs w:val="1"/>
          <w:color w:val="auto"/>
          <w:vertAlign w:val="superscript"/>
        </w:rPr>
      </w:pPr>
      <w:r>
        <w:rPr>
          <w:rFonts w:ascii="Arial" w:cs="Arial" w:eastAsia="Arial" w:hAnsi="Arial"/>
          <w:sz w:val="17"/>
          <w:szCs w:val="17"/>
          <w:color w:val="auto"/>
        </w:rPr>
        <w:t>It includes other currencies such as: Argentine pesos, Australian- dollar, Swiss franc, Pound sterling, Peruvian soles and Remimbis</w:t>
      </w:r>
      <w:r>
        <w:rPr>
          <w:rFonts w:ascii="Arial" w:cs="Arial" w:eastAsia="Arial" w:hAnsi="Arial"/>
          <w:sz w:val="17"/>
          <w:szCs w:val="17"/>
          <w:b w:val="1"/>
          <w:bCs w:val="1"/>
          <w:color w:val="auto"/>
        </w:rPr>
        <w:t>.</w:t>
      </w:r>
    </w:p>
    <w:p>
      <w:pPr>
        <w:spacing w:after="0" w:line="200" w:lineRule="exact"/>
        <w:rPr>
          <w:rFonts w:ascii="Arial" w:cs="Arial" w:eastAsia="Arial" w:hAnsi="Arial"/>
          <w:sz w:val="28"/>
          <w:szCs w:val="28"/>
          <w:b w:val="1"/>
          <w:bCs w:val="1"/>
          <w:color w:val="auto"/>
          <w:vertAlign w:val="superscript"/>
        </w:rPr>
      </w:pPr>
    </w:p>
    <w:p>
      <w:pPr>
        <w:spacing w:after="0" w:line="217" w:lineRule="exact"/>
        <w:rPr>
          <w:rFonts w:ascii="Arial" w:cs="Arial" w:eastAsia="Arial" w:hAnsi="Arial"/>
          <w:sz w:val="28"/>
          <w:szCs w:val="28"/>
          <w:b w:val="1"/>
          <w:bCs w:val="1"/>
          <w:color w:val="auto"/>
          <w:vertAlign w:val="superscript"/>
        </w:rPr>
      </w:pPr>
    </w:p>
    <w:p>
      <w:pPr>
        <w:ind w:left="5620"/>
        <w:spacing w:after="0"/>
        <w:rPr>
          <w:rFonts w:ascii="Arial" w:cs="Arial" w:eastAsia="Arial" w:hAnsi="Arial"/>
          <w:sz w:val="28"/>
          <w:szCs w:val="28"/>
          <w:b w:val="1"/>
          <w:bCs w:val="1"/>
          <w:color w:val="auto"/>
          <w:vertAlign w:val="superscript"/>
        </w:rPr>
      </w:pPr>
      <w:r>
        <w:rPr>
          <w:rFonts w:ascii="Arial" w:cs="Arial" w:eastAsia="Arial" w:hAnsi="Arial"/>
          <w:sz w:val="18"/>
          <w:szCs w:val="18"/>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79" w:name="page80"/>
    <w:bookmarkEnd w:id="7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40" w:type="dxa"/>
            <w:vAlign w:val="bottom"/>
            <w:gridSpan w:val="3"/>
          </w:tcPr>
          <w:p>
            <w:pPr>
              <w:spacing w:after="0"/>
              <w:rPr>
                <w:sz w:val="20"/>
                <w:szCs w:val="20"/>
                <w:color w:val="auto"/>
              </w:rPr>
            </w:pPr>
            <w:r>
              <w:rPr>
                <w:rFonts w:ascii="Arial" w:cs="Arial" w:eastAsia="Arial" w:hAnsi="Arial"/>
                <w:sz w:val="18"/>
                <w:szCs w:val="18"/>
                <w:b w:val="1"/>
                <w:bCs w:val="1"/>
                <w:color w:val="auto"/>
              </w:rPr>
              <w:t>21. Risk management (continued)</w:t>
            </w:r>
          </w:p>
        </w:tc>
        <w:tc>
          <w:tcPr>
            <w:tcW w:w="9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3400" w:type="dxa"/>
            <w:vAlign w:val="bottom"/>
            <w:gridSpan w:val="2"/>
          </w:tcPr>
          <w:p>
            <w:pPr>
              <w:spacing w:after="0"/>
              <w:rPr>
                <w:sz w:val="20"/>
                <w:szCs w:val="20"/>
                <w:color w:val="auto"/>
              </w:rPr>
            </w:pPr>
            <w:r>
              <w:rPr>
                <w:rFonts w:ascii="Arial" w:cs="Arial" w:eastAsia="Arial" w:hAnsi="Arial"/>
                <w:sz w:val="18"/>
                <w:szCs w:val="18"/>
                <w:b w:val="1"/>
                <w:bCs w:val="1"/>
                <w:color w:val="auto"/>
              </w:rPr>
              <w:t>Market risk (continued)</w:t>
            </w:r>
          </w:p>
        </w:tc>
        <w:tc>
          <w:tcPr>
            <w:tcW w:w="9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340" w:type="dxa"/>
            <w:vAlign w:val="bottom"/>
          </w:tcPr>
          <w:p>
            <w:pPr>
              <w:spacing w:after="0"/>
              <w:rPr>
                <w:sz w:val="24"/>
                <w:szCs w:val="24"/>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Currency risk (continued)</w:t>
            </w:r>
          </w:p>
        </w:tc>
        <w:tc>
          <w:tcPr>
            <w:tcW w:w="9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6"/>
        </w:trPr>
        <w:tc>
          <w:tcPr>
            <w:tcW w:w="340" w:type="dxa"/>
            <w:vAlign w:val="bottom"/>
          </w:tcPr>
          <w:p>
            <w:pPr>
              <w:spacing w:after="0"/>
              <w:rPr>
                <w:sz w:val="24"/>
                <w:szCs w:val="24"/>
                <w:color w:val="auto"/>
              </w:rPr>
            </w:pPr>
          </w:p>
        </w:tc>
        <w:tc>
          <w:tcPr>
            <w:tcW w:w="980" w:type="dxa"/>
            <w:vAlign w:val="bottom"/>
            <w:tcBorders>
              <w:top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gridSpan w:val="5"/>
          </w:tcPr>
          <w:p>
            <w:pPr>
              <w:ind w:left="740"/>
              <w:spacing w:after="0"/>
              <w:rPr>
                <w:sz w:val="20"/>
                <w:szCs w:val="20"/>
                <w:color w:val="auto"/>
              </w:rPr>
            </w:pPr>
            <w:r>
              <w:rPr>
                <w:rFonts w:ascii="Arial" w:cs="Arial" w:eastAsia="Arial" w:hAnsi="Arial"/>
                <w:sz w:val="18"/>
                <w:szCs w:val="18"/>
                <w:b w:val="1"/>
                <w:bCs w:val="1"/>
                <w:color w:val="auto"/>
                <w:w w:val="88"/>
              </w:rPr>
              <w:t>December 31, 2017</w:t>
            </w: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6"/>
        </w:trPr>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420" w:type="dxa"/>
            <w:vAlign w:val="bottom"/>
          </w:tcPr>
          <w:p>
            <w:pPr>
              <w:spacing w:after="0"/>
              <w:rPr>
                <w:sz w:val="17"/>
                <w:szCs w:val="17"/>
                <w:color w:val="auto"/>
              </w:rPr>
            </w:pPr>
          </w:p>
        </w:tc>
        <w:tc>
          <w:tcPr>
            <w:tcW w:w="114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3"/>
              </w:rPr>
              <w:t>Brazilian</w:t>
            </w:r>
          </w:p>
        </w:tc>
        <w:tc>
          <w:tcPr>
            <w:tcW w:w="11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9"/>
              </w:rPr>
              <w:t>European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5"/>
              </w:rPr>
              <w:t>Japanese</w:t>
            </w:r>
          </w:p>
        </w:tc>
        <w:tc>
          <w:tcPr>
            <w:tcW w:w="1120" w:type="dxa"/>
            <w:vAlign w:val="bottom"/>
            <w:gridSpan w:val="3"/>
          </w:tcPr>
          <w:p>
            <w:pPr>
              <w:jc w:val="center"/>
              <w:ind w:right="28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40" w:type="dxa"/>
            <w:vAlign w:val="bottom"/>
            <w:gridSpan w:val="2"/>
          </w:tcPr>
          <w:p>
            <w:pPr>
              <w:jc w:val="center"/>
              <w:ind w:right="260"/>
              <w:spacing w:after="0" w:line="196" w:lineRule="exact"/>
              <w:rPr>
                <w:sz w:val="20"/>
                <w:szCs w:val="20"/>
                <w:color w:val="auto"/>
              </w:rPr>
            </w:pPr>
            <w:r>
              <w:rPr>
                <w:rFonts w:ascii="Arial" w:cs="Arial" w:eastAsia="Arial" w:hAnsi="Arial"/>
                <w:sz w:val="18"/>
                <w:szCs w:val="18"/>
                <w:b w:val="1"/>
                <w:bCs w:val="1"/>
                <w:color w:val="auto"/>
                <w:w w:val="92"/>
              </w:rPr>
              <w:t>Mexican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2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Real</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Yen</w:t>
            </w:r>
          </w:p>
        </w:tc>
        <w:tc>
          <w:tcPr>
            <w:tcW w:w="112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83"/>
              </w:rPr>
              <w:t>Peso</w:t>
            </w:r>
          </w:p>
        </w:tc>
        <w:tc>
          <w:tcPr>
            <w:tcW w:w="10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2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112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83"/>
              </w:rPr>
              <w:t>expressed</w:t>
            </w:r>
          </w:p>
        </w:tc>
        <w:tc>
          <w:tcPr>
            <w:tcW w:w="10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70"/>
        </w:trPr>
        <w:tc>
          <w:tcPr>
            <w:tcW w:w="340" w:type="dxa"/>
            <w:vAlign w:val="bottom"/>
          </w:tcPr>
          <w:p>
            <w:pPr>
              <w:spacing w:after="0"/>
              <w:rPr>
                <w:sz w:val="23"/>
                <w:szCs w:val="23"/>
                <w:color w:val="auto"/>
              </w:rPr>
            </w:pPr>
          </w:p>
        </w:tc>
        <w:tc>
          <w:tcPr>
            <w:tcW w:w="980" w:type="dxa"/>
            <w:vAlign w:val="bottom"/>
          </w:tcPr>
          <w:p>
            <w:pPr>
              <w:spacing w:after="0"/>
              <w:rPr>
                <w:sz w:val="23"/>
                <w:szCs w:val="23"/>
                <w:color w:val="auto"/>
              </w:rPr>
            </w:pPr>
          </w:p>
        </w:tc>
        <w:tc>
          <w:tcPr>
            <w:tcW w:w="2420" w:type="dxa"/>
            <w:vAlign w:val="bottom"/>
          </w:tcPr>
          <w:p>
            <w:pPr>
              <w:spacing w:after="0"/>
              <w:rPr>
                <w:sz w:val="23"/>
                <w:szCs w:val="23"/>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 US$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12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92"/>
              </w:rPr>
              <w:t>in US$</w:t>
            </w:r>
          </w:p>
        </w:tc>
        <w:tc>
          <w:tcPr>
            <w:tcW w:w="10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96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112.66</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2,985.78</w:t>
            </w:r>
          </w:p>
        </w:tc>
        <w:tc>
          <w:tcPr>
            <w:tcW w:w="2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19.67</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Cash and cash equivalent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87</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860" w:type="dxa"/>
            <w:vAlign w:val="bottom"/>
          </w:tcPr>
          <w:p>
            <w:pPr>
              <w:jc w:val="right"/>
              <w:spacing w:after="0"/>
              <w:rPr>
                <w:sz w:val="20"/>
                <w:szCs w:val="20"/>
                <w:color w:val="auto"/>
              </w:rPr>
            </w:pPr>
            <w:r>
              <w:rPr>
                <w:rFonts w:ascii="Arial" w:cs="Arial" w:eastAsia="Arial" w:hAnsi="Arial"/>
                <w:sz w:val="18"/>
                <w:szCs w:val="18"/>
                <w:color w:val="auto"/>
              </w:rPr>
              <w:t>91</w:t>
            </w: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369</w:t>
            </w:r>
          </w:p>
        </w:tc>
        <w:tc>
          <w:tcPr>
            <w:tcW w:w="860" w:type="dxa"/>
            <w:vAlign w:val="bottom"/>
          </w:tcPr>
          <w:p>
            <w:pPr>
              <w:jc w:val="right"/>
              <w:spacing w:after="0"/>
              <w:rPr>
                <w:sz w:val="20"/>
                <w:szCs w:val="20"/>
                <w:color w:val="auto"/>
              </w:rPr>
            </w:pPr>
            <w:r>
              <w:rPr>
                <w:rFonts w:ascii="Arial" w:cs="Arial" w:eastAsia="Arial" w:hAnsi="Arial"/>
                <w:sz w:val="18"/>
                <w:szCs w:val="18"/>
                <w:color w:val="auto"/>
              </w:rPr>
              <w:t>75</w:t>
            </w:r>
          </w:p>
        </w:tc>
        <w:tc>
          <w:tcPr>
            <w:tcW w:w="2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628</w:t>
            </w:r>
          </w:p>
        </w:tc>
      </w:tr>
      <w:tr>
        <w:trPr>
          <w:trHeight w:val="216"/>
        </w:trPr>
        <w:tc>
          <w:tcPr>
            <w:tcW w:w="340" w:type="dxa"/>
            <w:vAlign w:val="bottom"/>
          </w:tcPr>
          <w:p>
            <w:pPr>
              <w:spacing w:after="0"/>
              <w:rPr>
                <w:sz w:val="18"/>
                <w:szCs w:val="18"/>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168</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168</w:t>
            </w:r>
          </w:p>
        </w:tc>
      </w:tr>
      <w:tr>
        <w:trPr>
          <w:trHeight w:val="230"/>
        </w:trPr>
        <w:tc>
          <w:tcPr>
            <w:tcW w:w="340" w:type="dxa"/>
            <w:vAlign w:val="bottom"/>
          </w:tcPr>
          <w:p>
            <w:pPr>
              <w:spacing w:after="0"/>
              <w:rPr>
                <w:sz w:val="19"/>
                <w:szCs w:val="19"/>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Loans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143,182</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143,182</w:t>
            </w: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143,551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143,978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4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4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Borrowings and deposit placements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143,661</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143,661</w:t>
            </w: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143,661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143,661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4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4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3"/>
        </w:trPr>
        <w:tc>
          <w:tcPr>
            <w:tcW w:w="340" w:type="dxa"/>
            <w:vAlign w:val="bottom"/>
          </w:tcPr>
          <w:p>
            <w:pPr>
              <w:spacing w:after="0"/>
              <w:rPr>
                <w:sz w:val="21"/>
                <w:szCs w:val="21"/>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255</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91</w:t>
            </w:r>
          </w:p>
        </w:tc>
        <w:tc>
          <w:tcPr>
            <w:tcW w:w="220" w:type="dxa"/>
            <w:vAlign w:val="bottom"/>
            <w:shd w:val="clear" w:color="auto" w:fill="CCEEFF"/>
          </w:tcPr>
          <w:p>
            <w:pPr>
              <w:spacing w:after="0"/>
              <w:rPr>
                <w:sz w:val="21"/>
                <w:szCs w:val="21"/>
                <w:color w:val="auto"/>
              </w:rPr>
            </w:pPr>
          </w:p>
        </w:tc>
        <w:tc>
          <w:tcPr>
            <w:tcW w:w="4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(110)</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75</w:t>
            </w:r>
          </w:p>
        </w:tc>
        <w:tc>
          <w:tcPr>
            <w:tcW w:w="2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317</w:t>
            </w:r>
          </w:p>
        </w:tc>
      </w:tr>
      <w:tr>
        <w:trPr>
          <w:trHeight w:val="20"/>
        </w:trPr>
        <w:tc>
          <w:tcPr>
            <w:tcW w:w="340" w:type="dxa"/>
            <w:vAlign w:val="bottom"/>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24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10" w:lineRule="exact"/>
        <w:rPr>
          <w:sz w:val="20"/>
          <w:szCs w:val="20"/>
          <w:color w:val="auto"/>
        </w:rPr>
      </w:pPr>
    </w:p>
    <w:p>
      <w:pPr>
        <w:ind w:left="980" w:hanging="324"/>
        <w:spacing w:after="0"/>
        <w:tabs>
          <w:tab w:leader="none" w:pos="980" w:val="left"/>
        </w:tabs>
        <w:numPr>
          <w:ilvl w:val="0"/>
          <w:numId w:val="94"/>
        </w:numPr>
        <w:rPr>
          <w:rFonts w:ascii="Arial" w:cs="Arial" w:eastAsia="Arial" w:hAnsi="Arial"/>
          <w:sz w:val="28"/>
          <w:szCs w:val="28"/>
          <w:b w:val="1"/>
          <w:bCs w:val="1"/>
          <w:color w:val="auto"/>
          <w:vertAlign w:val="superscript"/>
        </w:rPr>
      </w:pPr>
      <w:r>
        <w:rPr>
          <w:rFonts w:ascii="Arial" w:cs="Arial" w:eastAsia="Arial" w:hAnsi="Arial"/>
          <w:sz w:val="17"/>
          <w:szCs w:val="17"/>
          <w:color w:val="auto"/>
        </w:rPr>
        <w:t>It includes other currencies such as: Argentine pesos, Australian- dollar, Canadian dollar, Swiss franc, Peruvian soles and Remimbis</w:t>
      </w:r>
      <w:r>
        <w:rPr>
          <w:rFonts w:ascii="Arial" w:cs="Arial" w:eastAsia="Arial" w:hAnsi="Arial"/>
          <w:sz w:val="17"/>
          <w:szCs w:val="17"/>
          <w:b w:val="1"/>
          <w:bCs w:val="1"/>
          <w:color w:val="auto"/>
        </w:rPr>
        <w:t>.</w:t>
      </w:r>
    </w:p>
    <w:p>
      <w:pPr>
        <w:spacing w:after="0" w:line="197" w:lineRule="exact"/>
        <w:rPr>
          <w:rFonts w:ascii="Arial" w:cs="Arial" w:eastAsia="Arial" w:hAnsi="Arial"/>
          <w:sz w:val="28"/>
          <w:szCs w:val="28"/>
          <w:b w:val="1"/>
          <w:bCs w:val="1"/>
          <w:color w:val="auto"/>
          <w:vertAlign w:val="superscript"/>
        </w:rPr>
      </w:pPr>
    </w:p>
    <w:p>
      <w:pPr>
        <w:ind w:left="340"/>
        <w:spacing w:after="0"/>
        <w:rPr>
          <w:rFonts w:ascii="Arial" w:cs="Arial" w:eastAsia="Arial" w:hAnsi="Arial"/>
          <w:sz w:val="28"/>
          <w:szCs w:val="28"/>
          <w:b w:val="1"/>
          <w:bCs w:val="1"/>
          <w:color w:val="auto"/>
          <w:vertAlign w:val="superscript"/>
        </w:rPr>
      </w:pPr>
      <w:r>
        <w:rPr>
          <w:rFonts w:ascii="Arial" w:cs="Arial" w:eastAsia="Arial" w:hAnsi="Arial"/>
          <w:sz w:val="18"/>
          <w:szCs w:val="18"/>
          <w:b w:val="1"/>
          <w:bCs w:val="1"/>
          <w:color w:val="auto"/>
        </w:rPr>
        <w:t>Operational Risk</w:t>
      </w:r>
    </w:p>
    <w:p>
      <w:pPr>
        <w:spacing w:after="0" w:line="229" w:lineRule="exact"/>
        <w:rPr>
          <w:sz w:val="20"/>
          <w:szCs w:val="20"/>
          <w:color w:val="auto"/>
        </w:rPr>
      </w:pPr>
    </w:p>
    <w:p>
      <w:pPr>
        <w:jc w:val="both"/>
        <w:ind w:left="340"/>
        <w:spacing w:after="0" w:line="253" w:lineRule="auto"/>
        <w:rPr>
          <w:sz w:val="20"/>
          <w:szCs w:val="20"/>
          <w:color w:val="auto"/>
        </w:rPr>
      </w:pPr>
      <w:r>
        <w:rPr>
          <w:rFonts w:ascii="Arial" w:cs="Arial" w:eastAsia="Arial" w:hAnsi="Arial"/>
          <w:sz w:val="18"/>
          <w:szCs w:val="18"/>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Capital management</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primary objectives of the Bank’s capital management policy are to ensure that the Bank complies with externally imposed capital requirements and maintains strong credit ratings and healthy capital ratios to support its business and to maximize shareholder value.</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80" w:name="page81"/>
    <w:bookmarkEnd w:id="8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60" w:hanging="332"/>
        <w:spacing w:after="0" w:line="566" w:lineRule="auto"/>
        <w:tabs>
          <w:tab w:leader="none" w:pos="340" w:val="left"/>
        </w:tabs>
        <w:numPr>
          <w:ilvl w:val="0"/>
          <w:numId w:val="95"/>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Capital management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680" w:type="dxa"/>
            <w:vAlign w:val="bottom"/>
          </w:tcPr>
          <w:p>
            <w:pPr>
              <w:spacing w:after="0"/>
              <w:rPr>
                <w:sz w:val="18"/>
                <w:szCs w:val="18"/>
                <w:color w:val="auto"/>
              </w:rPr>
            </w:pPr>
          </w:p>
        </w:tc>
        <w:tc>
          <w:tcPr>
            <w:tcW w:w="16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September 30,</w:t>
            </w:r>
          </w:p>
        </w:tc>
        <w:tc>
          <w:tcPr>
            <w:tcW w:w="15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2018</w:t>
            </w:r>
          </w:p>
        </w:tc>
        <w:tc>
          <w:tcPr>
            <w:tcW w:w="2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2017</w:t>
            </w:r>
          </w:p>
        </w:tc>
        <w:tc>
          <w:tcPr>
            <w:tcW w:w="160" w:type="dxa"/>
            <w:vAlign w:val="bottom"/>
            <w:tcBorders>
              <w:bottom w:val="single" w:sz="8" w:color="CCEEFF"/>
            </w:tcBorders>
          </w:tcPr>
          <w:p>
            <w:pPr>
              <w:spacing w:after="0"/>
              <w:rPr>
                <w:sz w:val="20"/>
                <w:szCs w:val="20"/>
                <w:color w:val="auto"/>
              </w:rPr>
            </w:pPr>
          </w:p>
        </w:tc>
      </w:tr>
      <w:tr>
        <w:trPr>
          <w:trHeight w:val="223"/>
        </w:trPr>
        <w:tc>
          <w:tcPr>
            <w:tcW w:w="76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992,664</w:t>
            </w:r>
          </w:p>
        </w:tc>
        <w:tc>
          <w:tcPr>
            <w:tcW w:w="260" w:type="dxa"/>
            <w:vAlign w:val="bottom"/>
            <w:tcBorders>
              <w:bottom w:val="single" w:sz="8" w:color="CCEEFF"/>
            </w:tcBorders>
            <w:shd w:val="clear" w:color="auto" w:fill="CCEEFF"/>
          </w:tcPr>
          <w:p>
            <w:pPr>
              <w:spacing w:after="0"/>
              <w:rPr>
                <w:sz w:val="19"/>
                <w:szCs w:val="19"/>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1,048,304</w:t>
            </w:r>
          </w:p>
        </w:tc>
        <w:tc>
          <w:tcPr>
            <w:tcW w:w="160" w:type="dxa"/>
            <w:vAlign w:val="bottom"/>
            <w:tcBorders>
              <w:bottom w:val="single" w:sz="8" w:color="CCEEFF"/>
            </w:tcBorders>
            <w:shd w:val="clear" w:color="auto" w:fill="CCEEFF"/>
          </w:tcPr>
          <w:p>
            <w:pPr>
              <w:spacing w:after="0"/>
              <w:rPr>
                <w:sz w:val="19"/>
                <w:szCs w:val="19"/>
                <w:color w:val="auto"/>
              </w:rPr>
            </w:pPr>
          </w:p>
        </w:tc>
      </w:tr>
      <w:tr>
        <w:trPr>
          <w:trHeight w:val="20"/>
        </w:trPr>
        <w:tc>
          <w:tcPr>
            <w:tcW w:w="76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197"/>
        </w:trPr>
        <w:tc>
          <w:tcPr>
            <w:tcW w:w="768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768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6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5,731,405</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5,601,518</w:t>
            </w:r>
          </w:p>
        </w:tc>
        <w:tc>
          <w:tcPr>
            <w:tcW w:w="160" w:type="dxa"/>
            <w:vAlign w:val="bottom"/>
            <w:shd w:val="clear" w:color="auto" w:fill="CCEEFF"/>
          </w:tcPr>
          <w:p>
            <w:pPr>
              <w:spacing w:after="0"/>
              <w:rPr>
                <w:sz w:val="18"/>
                <w:szCs w:val="18"/>
                <w:color w:val="auto"/>
              </w:rPr>
            </w:pPr>
          </w:p>
        </w:tc>
      </w:tr>
      <w:tr>
        <w:trPr>
          <w:trHeight w:val="230"/>
        </w:trPr>
        <w:tc>
          <w:tcPr>
            <w:tcW w:w="7680" w:type="dxa"/>
            <w:vAlign w:val="bottom"/>
          </w:tcPr>
          <w:p>
            <w:pPr>
              <w:spacing w:after="0"/>
              <w:rPr>
                <w:sz w:val="20"/>
                <w:szCs w:val="20"/>
                <w:color w:val="auto"/>
              </w:rPr>
            </w:pPr>
            <w:r>
              <w:rPr>
                <w:rFonts w:ascii="Arial" w:cs="Arial" w:eastAsia="Arial" w:hAnsi="Arial"/>
                <w:sz w:val="18"/>
                <w:szCs w:val="18"/>
                <w:color w:val="auto"/>
              </w:rPr>
              <w:t>Tier 1 capital ratio</w:t>
            </w:r>
          </w:p>
        </w:tc>
        <w:tc>
          <w:tcPr>
            <w:tcW w:w="1680" w:type="dxa"/>
            <w:vAlign w:val="bottom"/>
            <w:gridSpan w:val="2"/>
          </w:tcPr>
          <w:p>
            <w:pPr>
              <w:jc w:val="right"/>
              <w:ind w:right="120"/>
              <w:spacing w:after="0"/>
              <w:rPr>
                <w:sz w:val="20"/>
                <w:szCs w:val="20"/>
                <w:color w:val="auto"/>
              </w:rPr>
            </w:pPr>
            <w:r>
              <w:rPr>
                <w:rFonts w:ascii="Arial" w:cs="Arial" w:eastAsia="Arial" w:hAnsi="Arial"/>
                <w:sz w:val="18"/>
                <w:szCs w:val="18"/>
                <w:color w:val="auto"/>
              </w:rPr>
              <w:t>17.32%</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18.71%</w:t>
            </w:r>
          </w:p>
        </w:tc>
      </w:tr>
    </w:tbl>
    <w:p>
      <w:pPr>
        <w:spacing w:after="0" w:line="183" w:lineRule="exact"/>
        <w:rPr>
          <w:sz w:val="20"/>
          <w:szCs w:val="20"/>
          <w:color w:val="auto"/>
        </w:rPr>
      </w:pPr>
    </w:p>
    <w:p>
      <w:pPr>
        <w:ind w:left="340" w:right="8640" w:hanging="332"/>
        <w:spacing w:after="0" w:line="503" w:lineRule="auto"/>
        <w:tabs>
          <w:tab w:leader="none" w:pos="340" w:val="left"/>
        </w:tabs>
        <w:numPr>
          <w:ilvl w:val="0"/>
          <w:numId w:val="9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Rule No. 4-2008 issued by the Superintendence of Banks of Panama (SBP) establishes that every general license or international license bank must maintain, always, a minimum balance of liquid assets equivalent to 30% of the gross total of its deposits in the Republic of Panama or overseas up to 186 days, counted from the date of the report. The formula is based on the following parameters:</w:t>
      </w:r>
    </w:p>
    <w:p>
      <w:pPr>
        <w:spacing w:after="0" w:line="181" w:lineRule="exact"/>
        <w:rPr>
          <w:sz w:val="20"/>
          <w:szCs w:val="20"/>
          <w:color w:val="auto"/>
        </w:rPr>
      </w:pPr>
    </w:p>
    <w:tbl>
      <w:tblPr>
        <w:tblLayout w:type="fixed"/>
        <w:tblInd w:w="800" w:type="dxa"/>
        <w:tblCellMar>
          <w:top w:w="0" w:type="dxa"/>
          <w:left w:w="0" w:type="dxa"/>
          <w:bottom w:w="0" w:type="dxa"/>
          <w:right w:w="0" w:type="dxa"/>
        </w:tblCellMar>
      </w:tblPr>
      <w:tr>
        <w:trPr>
          <w:trHeight w:val="230"/>
        </w:trPr>
        <w:tc>
          <w:tcPr>
            <w:tcW w:w="3380" w:type="dxa"/>
            <w:vAlign w:val="bottom"/>
            <w:tcBorders>
              <w:bottom w:val="single" w:sz="8" w:color="auto"/>
            </w:tcBorders>
          </w:tcPr>
          <w:p>
            <w:pPr>
              <w:ind w:left="1240"/>
              <w:spacing w:after="0"/>
              <w:rPr>
                <w:sz w:val="20"/>
                <w:szCs w:val="20"/>
                <w:color w:val="auto"/>
              </w:rPr>
            </w:pPr>
            <w:r>
              <w:rPr>
                <w:rFonts w:ascii="Arial" w:cs="Arial" w:eastAsia="Arial" w:hAnsi="Arial"/>
                <w:sz w:val="18"/>
                <w:szCs w:val="18"/>
                <w:color w:val="auto"/>
              </w:rPr>
              <w:t>Liquid assets</w:t>
            </w:r>
          </w:p>
        </w:tc>
        <w:tc>
          <w:tcPr>
            <w:tcW w:w="2240" w:type="dxa"/>
            <w:vAlign w:val="bottom"/>
          </w:tcPr>
          <w:p>
            <w:pPr>
              <w:ind w:left="100"/>
              <w:spacing w:after="0"/>
              <w:rPr>
                <w:sz w:val="20"/>
                <w:szCs w:val="20"/>
                <w:color w:val="auto"/>
              </w:rPr>
            </w:pPr>
            <w:r>
              <w:rPr>
                <w:rFonts w:ascii="Arial" w:cs="Arial" w:eastAsia="Arial" w:hAnsi="Arial"/>
                <w:sz w:val="18"/>
                <w:szCs w:val="18"/>
                <w:color w:val="auto"/>
                <w:w w:val="94"/>
              </w:rPr>
              <w:t>x 100 = X% (Liquidity index)</w:t>
            </w:r>
          </w:p>
        </w:tc>
      </w:tr>
      <w:tr>
        <w:trPr>
          <w:trHeight w:val="224"/>
        </w:trPr>
        <w:tc>
          <w:tcPr>
            <w:tcW w:w="3380" w:type="dxa"/>
            <w:vAlign w:val="bottom"/>
          </w:tcPr>
          <w:p>
            <w:pPr>
              <w:ind w:left="560"/>
              <w:spacing w:after="0"/>
              <w:rPr>
                <w:sz w:val="20"/>
                <w:szCs w:val="20"/>
                <w:color w:val="auto"/>
              </w:rPr>
            </w:pPr>
            <w:r>
              <w:rPr>
                <w:rFonts w:ascii="Arial" w:cs="Arial" w:eastAsia="Arial" w:hAnsi="Arial"/>
                <w:sz w:val="18"/>
                <w:szCs w:val="18"/>
                <w:color w:val="auto"/>
              </w:rPr>
              <w:t>Liabilities (Deposits Received)</w:t>
            </w:r>
          </w:p>
        </w:tc>
        <w:tc>
          <w:tcPr>
            <w:tcW w:w="2240" w:type="dxa"/>
            <w:vAlign w:val="bottom"/>
          </w:tcPr>
          <w:p>
            <w:pPr>
              <w:spacing w:after="0"/>
              <w:rPr>
                <w:sz w:val="19"/>
                <w:szCs w:val="19"/>
                <w:color w:val="auto"/>
              </w:rPr>
            </w:pPr>
          </w:p>
        </w:tc>
      </w:tr>
    </w:tbl>
    <w:p>
      <w:pPr>
        <w:spacing w:after="0" w:line="18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of September 30, 2018, and December 31, 2017, the percentage of the liquidity index reported by the Bank to the regulator was 87.02% and 88.78%, respectively.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adequacy</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 weighted according to their risks; and ordinary primary capital that shall not be less than 4.5% of its assets and off-balance sheet transactions that represent an irrevocable contingency, weighted according to their risks; and a primary capital that shall not be less than 6% of its assets and off-balance sheet transactions that represent an irrevocable contingency, weighted according to their risks.</w:t>
      </w:r>
    </w:p>
    <w:p>
      <w:pPr>
        <w:spacing w:after="0" w:line="18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of September 30, 2018, the Bank's total capital adequacy ratio is 17.32%, which is in compliance with the capital adequacy indexes required by the Banking Law in the Republic of Panama.</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81" w:name="page82"/>
    <w:bookmarkEnd w:id="8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20" w:hanging="332"/>
        <w:spacing w:after="0" w:line="503" w:lineRule="auto"/>
        <w:tabs>
          <w:tab w:leader="none" w:pos="340" w:val="left"/>
        </w:tabs>
        <w:numPr>
          <w:ilvl w:val="0"/>
          <w:numId w:val="9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provisions</w:t>
      </w:r>
    </w:p>
    <w:p>
      <w:pPr>
        <w:jc w:val="both"/>
        <w:ind w:left="340" w:right="2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Rule No. 4-2013, modified by Rule No. 8-2014, indicates that the specific provisions are originated from the objective and concrete evidence of impairment. These provisions must be established for credit facilities classified according to the risk categories denominated: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guarantee; and a weighting table that applies to the net balance subject to loss of such credit facilities.</w:t>
      </w:r>
    </w:p>
    <w:p>
      <w:pPr>
        <w:spacing w:after="0" w:line="186" w:lineRule="exact"/>
        <w:rPr>
          <w:rFonts w:ascii="Arial" w:cs="Arial" w:eastAsia="Arial" w:hAnsi="Arial"/>
          <w:sz w:val="18"/>
          <w:szCs w:val="18"/>
          <w:b w:val="1"/>
          <w:bCs w:val="1"/>
          <w:color w:val="auto"/>
        </w:rPr>
      </w:pPr>
    </w:p>
    <w:p>
      <w:pPr>
        <w:ind w:left="340" w:right="4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 Article 34 of this Rule, it establishes that all credits must be classified in the following five (5) categories, according to their default risk and loan conditions, and establishes a minimum reserve for each classification: normal 0%, special mention 2%, substandard 15%, doubtful 50%, and unrecoverable 100%.</w:t>
      </w:r>
    </w:p>
    <w:p>
      <w:pPr>
        <w:spacing w:after="0" w:line="18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as a regulatory credit reserve in Stockholder’s Equity and will increases or decreases with allocations towards the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8"/>
          <w:szCs w:val="18"/>
          <w:b w:val="1"/>
          <w:bCs w:val="1"/>
          <w:color w:val="auto"/>
        </w:rPr>
      </w:pPr>
    </w:p>
    <w:p>
      <w:pPr>
        <w:ind w:left="340" w:right="4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Based on the classification of risks, real guarantees and in accordance with Rule No. 04-2013 of the Superintendence of Banks of Panama, the Bank classified the loan portfolio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80" w:type="dxa"/>
            <w:vAlign w:val="bottom"/>
            <w:tcBorders>
              <w:bottom w:val="single" w:sz="8" w:color="auto"/>
            </w:tcBorders>
            <w:gridSpan w:val="4"/>
          </w:tcPr>
          <w:p>
            <w:pPr>
              <w:ind w:left="400"/>
              <w:spacing w:after="0"/>
              <w:rPr>
                <w:sz w:val="20"/>
                <w:szCs w:val="20"/>
                <w:color w:val="auto"/>
              </w:rPr>
            </w:pPr>
            <w:r>
              <w:rPr>
                <w:rFonts w:ascii="Arial" w:cs="Arial" w:eastAsia="Arial" w:hAnsi="Arial"/>
                <w:sz w:val="18"/>
                <w:szCs w:val="18"/>
                <w:b w:val="1"/>
                <w:bCs w:val="1"/>
                <w:color w:val="auto"/>
              </w:rPr>
              <w:t>September 30, 2018</w:t>
            </w: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gridSpan w:val="2"/>
          </w:tcPr>
          <w:p>
            <w:pPr>
              <w:jc w:val="right"/>
              <w:ind w:right="320"/>
              <w:spacing w:after="0" w:line="191" w:lineRule="exact"/>
              <w:rPr>
                <w:sz w:val="20"/>
                <w:szCs w:val="20"/>
                <w:color w:val="auto"/>
              </w:rPr>
            </w:pPr>
            <w:r>
              <w:rPr>
                <w:rFonts w:ascii="Arial" w:cs="Arial" w:eastAsia="Arial" w:hAnsi="Arial"/>
                <w:sz w:val="18"/>
                <w:szCs w:val="18"/>
                <w:b w:val="1"/>
                <w:bCs w:val="1"/>
                <w:color w:val="auto"/>
              </w:rPr>
              <w:t>Special</w:t>
            </w:r>
          </w:p>
        </w:tc>
        <w:tc>
          <w:tcPr>
            <w:tcW w:w="1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760" w:type="dxa"/>
            <w:vAlign w:val="bottom"/>
            <w:gridSpan w:val="2"/>
          </w:tcPr>
          <w:p>
            <w:pPr>
              <w:ind w:left="1580"/>
              <w:spacing w:after="0"/>
              <w:rPr>
                <w:sz w:val="20"/>
                <w:szCs w:val="20"/>
                <w:color w:val="auto"/>
              </w:rPr>
            </w:pPr>
            <w:r>
              <w:rPr>
                <w:rFonts w:ascii="Arial" w:cs="Arial" w:eastAsia="Arial" w:hAnsi="Arial"/>
                <w:sz w:val="18"/>
                <w:szCs w:val="18"/>
                <w:b w:val="1"/>
                <w:bCs w:val="1"/>
                <w:color w:val="auto"/>
              </w:rPr>
              <w:t>Loans</w:t>
            </w:r>
          </w:p>
        </w:tc>
        <w:tc>
          <w:tcPr>
            <w:tcW w:w="1180" w:type="dxa"/>
            <w:vAlign w:val="bottom"/>
            <w:gridSpan w:val="2"/>
          </w:tcPr>
          <w:p>
            <w:pPr>
              <w:ind w:left="200"/>
              <w:spacing w:after="0"/>
              <w:rPr>
                <w:sz w:val="20"/>
                <w:szCs w:val="20"/>
                <w:color w:val="auto"/>
              </w:rPr>
            </w:pPr>
            <w:r>
              <w:rPr>
                <w:rFonts w:ascii="Arial" w:cs="Arial" w:eastAsia="Arial" w:hAnsi="Arial"/>
                <w:sz w:val="18"/>
                <w:szCs w:val="18"/>
                <w:b w:val="1"/>
                <w:bCs w:val="1"/>
                <w:color w:val="auto"/>
              </w:rPr>
              <w:t>Normal</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Mention</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8"/>
              </w:rPr>
              <w:t>Substandard</w:t>
            </w:r>
          </w:p>
        </w:tc>
        <w:tc>
          <w:tcPr>
            <w:tcW w:w="1080" w:type="dxa"/>
            <w:vAlign w:val="bottom"/>
            <w:gridSpan w:val="2"/>
          </w:tcPr>
          <w:p>
            <w:pPr>
              <w:ind w:left="140"/>
              <w:spacing w:after="0"/>
              <w:rPr>
                <w:sz w:val="20"/>
                <w:szCs w:val="20"/>
                <w:color w:val="auto"/>
              </w:rPr>
            </w:pPr>
            <w:r>
              <w:rPr>
                <w:rFonts w:ascii="Arial" w:cs="Arial" w:eastAsia="Arial" w:hAnsi="Arial"/>
                <w:sz w:val="18"/>
                <w:szCs w:val="18"/>
                <w:b w:val="1"/>
                <w:bCs w:val="1"/>
                <w:color w:val="auto"/>
              </w:rPr>
              <w:t>Doubtful</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w w:val="97"/>
              </w:rPr>
              <w:t>Unrecoverable</w:t>
            </w:r>
          </w:p>
        </w:tc>
        <w:tc>
          <w:tcPr>
            <w:tcW w:w="108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2,526,524</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83,976</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2,610,500</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60" w:type="dxa"/>
            <w:vAlign w:val="bottom"/>
            <w:gridSpan w:val="2"/>
          </w:tcPr>
          <w:p>
            <w:pPr>
              <w:spacing w:after="0"/>
              <w:rPr>
                <w:sz w:val="20"/>
                <w:szCs w:val="20"/>
                <w:color w:val="auto"/>
              </w:rPr>
            </w:pPr>
            <w:r>
              <w:rPr>
                <w:rFonts w:ascii="Arial" w:cs="Arial" w:eastAsia="Arial" w:hAnsi="Arial"/>
                <w:sz w:val="18"/>
                <w:szCs w:val="18"/>
                <w:color w:val="auto"/>
              </w:rPr>
              <w:t>Banks:</w:t>
            </w: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6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2,452,756</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2,452,756</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60" w:type="dxa"/>
            <w:vAlign w:val="bottom"/>
            <w:gridSpan w:val="2"/>
          </w:tcPr>
          <w:p>
            <w:pPr>
              <w:ind w:left="160"/>
              <w:spacing w:after="0"/>
              <w:rPr>
                <w:sz w:val="20"/>
                <w:szCs w:val="20"/>
                <w:color w:val="auto"/>
              </w:rPr>
            </w:pPr>
            <w:r>
              <w:rPr>
                <w:rFonts w:ascii="Arial" w:cs="Arial" w:eastAsia="Arial" w:hAnsi="Arial"/>
                <w:sz w:val="18"/>
                <w:szCs w:val="18"/>
                <w:color w:val="auto"/>
              </w:rPr>
              <w:t>State-owned</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537,270</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537,270</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6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2,990,026</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2,990,026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60" w:type="dxa"/>
            <w:vAlign w:val="bottom"/>
            <w:gridSpan w:val="2"/>
          </w:tcPr>
          <w:p>
            <w:pPr>
              <w:spacing w:after="0"/>
              <w:rPr>
                <w:sz w:val="20"/>
                <w:szCs w:val="20"/>
                <w:color w:val="auto"/>
              </w:rPr>
            </w:pPr>
            <w:r>
              <w:rPr>
                <w:rFonts w:ascii="Arial" w:cs="Arial" w:eastAsia="Arial" w:hAnsi="Arial"/>
                <w:sz w:val="18"/>
                <w:szCs w:val="18"/>
                <w:color w:val="auto"/>
              </w:rPr>
              <w:t>Others</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88,992</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123,992</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5,605,542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83,976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5,724,518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7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 provision:</w:t>
            </w: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60" w:type="dxa"/>
            <w:vAlign w:val="bottom"/>
            <w:gridSpan w:val="2"/>
          </w:tcPr>
          <w:p>
            <w:pPr>
              <w:ind w:left="160"/>
              <w:spacing w:after="0"/>
              <w:rPr>
                <w:sz w:val="20"/>
                <w:szCs w:val="20"/>
                <w:color w:val="auto"/>
              </w:rPr>
            </w:pPr>
            <w:r>
              <w:rPr>
                <w:rFonts w:ascii="Arial" w:cs="Arial" w:eastAsia="Arial" w:hAnsi="Arial"/>
                <w:sz w:val="18"/>
                <w:szCs w:val="18"/>
                <w:color w:val="auto"/>
              </w:rPr>
              <w:t>Specific</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61,875</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22,750</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84,625</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61,875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22,750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84,625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color w:val="auto"/>
              </w:rPr>
              <w:t>79</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7" w:right="239" w:bottom="1440" w:gutter="0" w:footer="0" w:header="0"/>
        </w:sectPr>
      </w:pPr>
    </w:p>
    <w:bookmarkStart w:id="82" w:name="page83"/>
    <w:bookmarkEnd w:id="8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20" w:hanging="332"/>
        <w:spacing w:after="0" w:line="538" w:lineRule="auto"/>
        <w:tabs>
          <w:tab w:leader="none" w:pos="340" w:val="left"/>
        </w:tabs>
        <w:numPr>
          <w:ilvl w:val="0"/>
          <w:numId w:val="98"/>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Specific provisions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080" w:type="dxa"/>
            <w:vAlign w:val="bottom"/>
            <w:tcBorders>
              <w:bottom w:val="single" w:sz="8" w:color="auto"/>
            </w:tcBorders>
            <w:gridSpan w:val="3"/>
          </w:tcPr>
          <w:p>
            <w:pPr>
              <w:ind w:left="440"/>
              <w:spacing w:after="0"/>
              <w:rPr>
                <w:sz w:val="20"/>
                <w:szCs w:val="20"/>
                <w:color w:val="auto"/>
              </w:rPr>
            </w:pPr>
            <w:r>
              <w:rPr>
                <w:rFonts w:ascii="Arial" w:cs="Arial" w:eastAsia="Arial" w:hAnsi="Arial"/>
                <w:sz w:val="18"/>
                <w:szCs w:val="18"/>
                <w:b w:val="1"/>
                <w:bCs w:val="1"/>
                <w:color w:val="auto"/>
                <w:w w:val="99"/>
              </w:rPr>
              <w:t>December 31, 2017</w:t>
            </w: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6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gridSpan w:val="2"/>
          </w:tcPr>
          <w:p>
            <w:pPr>
              <w:jc w:val="right"/>
              <w:ind w:right="320"/>
              <w:spacing w:after="0" w:line="191" w:lineRule="exact"/>
              <w:rPr>
                <w:sz w:val="20"/>
                <w:szCs w:val="20"/>
                <w:color w:val="auto"/>
              </w:rPr>
            </w:pPr>
            <w:r>
              <w:rPr>
                <w:rFonts w:ascii="Arial" w:cs="Arial" w:eastAsia="Arial" w:hAnsi="Arial"/>
                <w:sz w:val="18"/>
                <w:szCs w:val="18"/>
                <w:b w:val="1"/>
                <w:bCs w:val="1"/>
                <w:color w:val="auto"/>
              </w:rPr>
              <w:t>Special</w:t>
            </w:r>
          </w:p>
        </w:tc>
        <w:tc>
          <w:tcPr>
            <w:tcW w:w="1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3760" w:type="dxa"/>
            <w:vAlign w:val="bottom"/>
            <w:gridSpan w:val="2"/>
          </w:tcPr>
          <w:p>
            <w:pPr>
              <w:ind w:left="1580"/>
              <w:spacing w:after="0"/>
              <w:rPr>
                <w:sz w:val="20"/>
                <w:szCs w:val="20"/>
                <w:color w:val="auto"/>
              </w:rPr>
            </w:pPr>
            <w:r>
              <w:rPr>
                <w:rFonts w:ascii="Arial" w:cs="Arial" w:eastAsia="Arial" w:hAnsi="Arial"/>
                <w:sz w:val="18"/>
                <w:szCs w:val="18"/>
                <w:b w:val="1"/>
                <w:bCs w:val="1"/>
                <w:color w:val="auto"/>
              </w:rPr>
              <w:t>Loans</w:t>
            </w:r>
          </w:p>
        </w:tc>
        <w:tc>
          <w:tcPr>
            <w:tcW w:w="1180" w:type="dxa"/>
            <w:vAlign w:val="bottom"/>
            <w:gridSpan w:val="2"/>
          </w:tcPr>
          <w:p>
            <w:pPr>
              <w:ind w:left="200"/>
              <w:spacing w:after="0"/>
              <w:rPr>
                <w:sz w:val="20"/>
                <w:szCs w:val="20"/>
                <w:color w:val="auto"/>
              </w:rPr>
            </w:pPr>
            <w:r>
              <w:rPr>
                <w:rFonts w:ascii="Arial" w:cs="Arial" w:eastAsia="Arial" w:hAnsi="Arial"/>
                <w:sz w:val="18"/>
                <w:szCs w:val="18"/>
                <w:b w:val="1"/>
                <w:bCs w:val="1"/>
                <w:color w:val="auto"/>
              </w:rPr>
              <w:t>Normal</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Mention</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8"/>
              </w:rPr>
              <w:t>Substandard</w:t>
            </w:r>
          </w:p>
        </w:tc>
        <w:tc>
          <w:tcPr>
            <w:tcW w:w="880" w:type="dxa"/>
            <w:vAlign w:val="bottom"/>
          </w:tcPr>
          <w:p>
            <w:pPr>
              <w:ind w:left="140"/>
              <w:spacing w:after="0"/>
              <w:rPr>
                <w:sz w:val="20"/>
                <w:szCs w:val="20"/>
                <w:color w:val="auto"/>
              </w:rPr>
            </w:pPr>
            <w:r>
              <w:rPr>
                <w:rFonts w:ascii="Arial" w:cs="Arial" w:eastAsia="Arial" w:hAnsi="Arial"/>
                <w:sz w:val="18"/>
                <w:szCs w:val="18"/>
                <w:b w:val="1"/>
                <w:bCs w:val="1"/>
                <w:color w:val="auto"/>
                <w:w w:val="97"/>
              </w:rPr>
              <w:t>Doubtful</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w w:val="97"/>
              </w:rPr>
              <w:t>Unrecoverable</w:t>
            </w:r>
          </w:p>
        </w:tc>
        <w:tc>
          <w:tcPr>
            <w:tcW w:w="108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r>
      <w:tr>
        <w:trPr>
          <w:trHeight w:val="210"/>
        </w:trPr>
        <w:tc>
          <w:tcPr>
            <w:tcW w:w="3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2,582,354</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23,759</w:t>
            </w:r>
          </w:p>
        </w:tc>
        <w:tc>
          <w:tcPr>
            <w:tcW w:w="2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760" w:type="dxa"/>
            <w:vAlign w:val="bottom"/>
            <w:gridSpan w:val="2"/>
          </w:tcPr>
          <w:p>
            <w:pPr>
              <w:spacing w:after="0"/>
              <w:rPr>
                <w:sz w:val="20"/>
                <w:szCs w:val="20"/>
                <w:color w:val="auto"/>
              </w:rPr>
            </w:pPr>
            <w:r>
              <w:rPr>
                <w:rFonts w:ascii="Arial" w:cs="Arial" w:eastAsia="Arial" w:hAnsi="Arial"/>
                <w:sz w:val="18"/>
                <w:szCs w:val="18"/>
                <w:color w:val="auto"/>
              </w:rPr>
              <w:t>Banks:</w:t>
            </w: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76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2,083,795</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spacing w:after="0"/>
              <w:rPr>
                <w:sz w:val="18"/>
                <w:szCs w:val="18"/>
                <w:color w:val="auto"/>
              </w:rPr>
            </w:pPr>
          </w:p>
        </w:tc>
        <w:tc>
          <w:tcPr>
            <w:tcW w:w="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2,083,795</w:t>
            </w:r>
          </w:p>
        </w:tc>
        <w:tc>
          <w:tcPr>
            <w:tcW w:w="100" w:type="dxa"/>
            <w:vAlign w:val="bottom"/>
            <w:shd w:val="clear" w:color="auto" w:fill="CCEEFF"/>
          </w:tcPr>
          <w:p>
            <w:pPr>
              <w:spacing w:after="0"/>
              <w:rPr>
                <w:sz w:val="18"/>
                <w:szCs w:val="18"/>
                <w:color w:val="auto"/>
              </w:rPr>
            </w:pPr>
          </w:p>
        </w:tc>
      </w:tr>
      <w:tr>
        <w:trPr>
          <w:trHeight w:val="230"/>
        </w:trPr>
        <w:tc>
          <w:tcPr>
            <w:tcW w:w="3760" w:type="dxa"/>
            <w:vAlign w:val="bottom"/>
            <w:gridSpan w:val="2"/>
          </w:tcPr>
          <w:p>
            <w:pPr>
              <w:ind w:left="160"/>
              <w:spacing w:after="0"/>
              <w:rPr>
                <w:sz w:val="20"/>
                <w:szCs w:val="20"/>
                <w:color w:val="auto"/>
              </w:rPr>
            </w:pPr>
            <w:r>
              <w:rPr>
                <w:rFonts w:ascii="Arial" w:cs="Arial" w:eastAsia="Arial" w:hAnsi="Arial"/>
                <w:sz w:val="18"/>
                <w:szCs w:val="18"/>
                <w:color w:val="auto"/>
              </w:rPr>
              <w:t>State-owned</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573,649</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tcPr>
          <w:p>
            <w:pPr>
              <w:spacing w:after="0"/>
              <w:rPr>
                <w:sz w:val="19"/>
                <w:szCs w:val="19"/>
                <w:color w:val="auto"/>
              </w:rPr>
            </w:pPr>
          </w:p>
        </w:tc>
        <w:tc>
          <w:tcPr>
            <w:tcW w:w="2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573,649</w:t>
            </w:r>
          </w:p>
        </w:tc>
      </w:tr>
      <w:tr>
        <w:trPr>
          <w:trHeight w:val="210"/>
        </w:trPr>
        <w:tc>
          <w:tcPr>
            <w:tcW w:w="36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2,657,444</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2,657,444</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760" w:type="dxa"/>
            <w:vAlign w:val="bottom"/>
            <w:gridSpan w:val="2"/>
          </w:tcPr>
          <w:p>
            <w:pPr>
              <w:spacing w:after="0"/>
              <w:rPr>
                <w:sz w:val="20"/>
                <w:szCs w:val="20"/>
                <w:color w:val="auto"/>
              </w:rPr>
            </w:pPr>
            <w:r>
              <w:rPr>
                <w:rFonts w:ascii="Arial" w:cs="Arial" w:eastAsia="Arial" w:hAnsi="Arial"/>
                <w:sz w:val="18"/>
                <w:szCs w:val="18"/>
                <w:color w:val="auto"/>
              </w:rPr>
              <w:t>Others</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207,101</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tcPr>
          <w:p>
            <w:pPr>
              <w:spacing w:after="0"/>
              <w:rPr>
                <w:sz w:val="19"/>
                <w:szCs w:val="19"/>
                <w:color w:val="auto"/>
              </w:rPr>
            </w:pPr>
          </w:p>
        </w:tc>
        <w:tc>
          <w:tcPr>
            <w:tcW w:w="2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242,101</w:t>
            </w:r>
          </w:p>
        </w:tc>
      </w:tr>
      <w:tr>
        <w:trPr>
          <w:trHeight w:val="223"/>
        </w:trPr>
        <w:tc>
          <w:tcPr>
            <w:tcW w:w="37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5,446,899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23,759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7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 provision:</w:t>
            </w: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760" w:type="dxa"/>
            <w:vAlign w:val="bottom"/>
            <w:gridSpan w:val="2"/>
          </w:tcPr>
          <w:p>
            <w:pPr>
              <w:ind w:left="160"/>
              <w:spacing w:after="0"/>
              <w:rPr>
                <w:sz w:val="20"/>
                <w:szCs w:val="20"/>
                <w:color w:val="auto"/>
              </w:rPr>
            </w:pPr>
            <w:r>
              <w:rPr>
                <w:rFonts w:ascii="Arial" w:cs="Arial" w:eastAsia="Arial" w:hAnsi="Arial"/>
                <w:sz w:val="18"/>
                <w:szCs w:val="18"/>
                <w:color w:val="auto"/>
              </w:rPr>
              <w:t>Specific</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7,238</w:t>
            </w:r>
          </w:p>
        </w:tc>
        <w:tc>
          <w:tcPr>
            <w:tcW w:w="880" w:type="dxa"/>
            <w:vAlign w:val="bottom"/>
          </w:tcPr>
          <w:p>
            <w:pPr>
              <w:spacing w:after="0"/>
              <w:rPr>
                <w:sz w:val="19"/>
                <w:szCs w:val="19"/>
                <w:color w:val="auto"/>
              </w:rPr>
            </w:pPr>
          </w:p>
        </w:tc>
        <w:tc>
          <w:tcPr>
            <w:tcW w:w="2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17,500</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24,738</w:t>
            </w:r>
          </w:p>
        </w:tc>
      </w:tr>
      <w:tr>
        <w:trPr>
          <w:trHeight w:val="223"/>
        </w:trPr>
        <w:tc>
          <w:tcPr>
            <w:tcW w:w="37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7,238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24,738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September 30, 2018, and December 31, 2017, the total restructured loans amounted to $28,440 and $32,924, respectively.</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20"/>
                <w:szCs w:val="20"/>
                <w:color w:val="auto"/>
              </w:rPr>
            </w:pPr>
          </w:p>
        </w:tc>
        <w:tc>
          <w:tcPr>
            <w:tcW w:w="4200" w:type="dxa"/>
            <w:vAlign w:val="bottom"/>
            <w:gridSpan w:val="3"/>
          </w:tcPr>
          <w:p>
            <w:pPr>
              <w:spacing w:after="0"/>
              <w:rPr>
                <w:sz w:val="20"/>
                <w:szCs w:val="20"/>
                <w:color w:val="auto"/>
              </w:rPr>
            </w:pPr>
            <w:r>
              <w:rPr>
                <w:rFonts w:ascii="Arial" w:cs="Arial" w:eastAsia="Arial" w:hAnsi="Arial"/>
                <w:sz w:val="18"/>
                <w:szCs w:val="18"/>
                <w:color w:val="auto"/>
                <w:w w:val="91"/>
              </w:rPr>
              <w:t>Non-accruing loans are presented by category as follows:</w:t>
            </w:r>
          </w:p>
        </w:tc>
        <w:tc>
          <w:tcPr>
            <w:tcW w:w="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4200" w:type="dxa"/>
            <w:vAlign w:val="bottom"/>
            <w:gridSpan w:val="3"/>
            <w:vMerge w:val="restart"/>
          </w:tcPr>
          <w:p>
            <w:pPr>
              <w:jc w:val="center"/>
              <w:ind w:right="120"/>
              <w:spacing w:after="0"/>
              <w:rPr>
                <w:sz w:val="20"/>
                <w:szCs w:val="20"/>
                <w:color w:val="auto"/>
              </w:rPr>
            </w:pPr>
            <w:r>
              <w:rPr>
                <w:rFonts w:ascii="Arial" w:cs="Arial" w:eastAsia="Arial" w:hAnsi="Arial"/>
                <w:sz w:val="18"/>
                <w:szCs w:val="18"/>
                <w:b w:val="1"/>
                <w:bCs w:val="1"/>
                <w:color w:val="auto"/>
                <w:w w:val="89"/>
              </w:rPr>
              <w:t>Non-accruing</w:t>
            </w: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7"/>
          </w:tcPr>
          <w:p>
            <w:pPr>
              <w:jc w:val="center"/>
              <w:spacing w:after="0"/>
              <w:rPr>
                <w:sz w:val="20"/>
                <w:szCs w:val="20"/>
                <w:color w:val="auto"/>
              </w:rPr>
            </w:pPr>
            <w:r>
              <w:rPr>
                <w:rFonts w:ascii="Arial" w:cs="Arial" w:eastAsia="Arial" w:hAnsi="Arial"/>
                <w:sz w:val="18"/>
                <w:szCs w:val="18"/>
                <w:b w:val="1"/>
                <w:bCs w:val="1"/>
                <w:color w:val="auto"/>
                <w:w w:val="90"/>
              </w:rPr>
              <w:t>September 30, 2018</w:t>
            </w: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4200" w:type="dxa"/>
            <w:vAlign w:val="bottom"/>
            <w:gridSpan w:val="3"/>
            <w:vMerge w:val="continue"/>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60" w:type="dxa"/>
            <w:vAlign w:val="bottom"/>
            <w:gridSpan w:val="3"/>
          </w:tcPr>
          <w:p>
            <w:pPr>
              <w:jc w:val="center"/>
              <w:ind w:right="240"/>
              <w:spacing w:after="0" w:line="191" w:lineRule="exact"/>
              <w:rPr>
                <w:sz w:val="20"/>
                <w:szCs w:val="20"/>
                <w:color w:val="auto"/>
              </w:rPr>
            </w:pPr>
            <w:r>
              <w:rPr>
                <w:rFonts w:ascii="Arial" w:cs="Arial" w:eastAsia="Arial" w:hAnsi="Arial"/>
                <w:sz w:val="18"/>
                <w:szCs w:val="18"/>
                <w:b w:val="1"/>
                <w:bCs w:val="1"/>
                <w:color w:val="auto"/>
                <w:w w:val="85"/>
              </w:rPr>
              <w:t>Special</w:t>
            </w:r>
          </w:p>
        </w:tc>
        <w:tc>
          <w:tcPr>
            <w:tcW w:w="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2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4"/>
              </w:rPr>
              <w:t>loans</w:t>
            </w:r>
          </w:p>
        </w:tc>
        <w:tc>
          <w:tcPr>
            <w:tcW w:w="20" w:type="dxa"/>
            <w:vAlign w:val="bottom"/>
          </w:tcPr>
          <w:p>
            <w:pPr>
              <w:spacing w:after="0"/>
              <w:rPr>
                <w:sz w:val="20"/>
                <w:szCs w:val="20"/>
                <w:color w:val="auto"/>
              </w:rPr>
            </w:pPr>
          </w:p>
        </w:tc>
        <w:tc>
          <w:tcPr>
            <w:tcW w:w="1060" w:type="dxa"/>
            <w:vAlign w:val="bottom"/>
            <w:gridSpan w:val="3"/>
          </w:tcPr>
          <w:p>
            <w:pPr>
              <w:ind w:left="120"/>
              <w:spacing w:after="0"/>
              <w:rPr>
                <w:sz w:val="20"/>
                <w:szCs w:val="20"/>
                <w:color w:val="auto"/>
              </w:rPr>
            </w:pPr>
            <w:r>
              <w:rPr>
                <w:rFonts w:ascii="Arial" w:cs="Arial" w:eastAsia="Arial" w:hAnsi="Arial"/>
                <w:sz w:val="18"/>
                <w:szCs w:val="18"/>
                <w:b w:val="1"/>
                <w:bCs w:val="1"/>
                <w:color w:val="auto"/>
              </w:rPr>
              <w:t>Normal</w:t>
            </w:r>
          </w:p>
        </w:tc>
        <w:tc>
          <w:tcPr>
            <w:tcW w:w="20" w:type="dxa"/>
            <w:vAlign w:val="bottom"/>
          </w:tcPr>
          <w:p>
            <w:pPr>
              <w:spacing w:after="0"/>
              <w:rPr>
                <w:sz w:val="20"/>
                <w:szCs w:val="20"/>
                <w:color w:val="auto"/>
              </w:rPr>
            </w:pPr>
          </w:p>
        </w:tc>
        <w:tc>
          <w:tcPr>
            <w:tcW w:w="106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2"/>
              </w:rPr>
              <w:t>Mention</w:t>
            </w:r>
          </w:p>
        </w:tc>
        <w:tc>
          <w:tcPr>
            <w:tcW w:w="1200" w:type="dxa"/>
            <w:vAlign w:val="bottom"/>
            <w:gridSpan w:val="4"/>
          </w:tcPr>
          <w:p>
            <w:pPr>
              <w:spacing w:after="0"/>
              <w:rPr>
                <w:sz w:val="20"/>
                <w:szCs w:val="20"/>
                <w:color w:val="auto"/>
              </w:rPr>
            </w:pPr>
            <w:r>
              <w:rPr>
                <w:rFonts w:ascii="Arial" w:cs="Arial" w:eastAsia="Arial" w:hAnsi="Arial"/>
                <w:sz w:val="18"/>
                <w:szCs w:val="18"/>
                <w:b w:val="1"/>
                <w:bCs w:val="1"/>
                <w:color w:val="auto"/>
              </w:rPr>
              <w:t>Substandard</w:t>
            </w:r>
          </w:p>
        </w:tc>
        <w:tc>
          <w:tcPr>
            <w:tcW w:w="20" w:type="dxa"/>
            <w:vAlign w:val="bottom"/>
          </w:tcPr>
          <w:p>
            <w:pPr>
              <w:spacing w:after="0"/>
              <w:rPr>
                <w:sz w:val="20"/>
                <w:szCs w:val="20"/>
                <w:color w:val="auto"/>
              </w:rPr>
            </w:pPr>
          </w:p>
        </w:tc>
        <w:tc>
          <w:tcPr>
            <w:tcW w:w="1060" w:type="dxa"/>
            <w:vAlign w:val="bottom"/>
            <w:gridSpan w:val="3"/>
          </w:tcPr>
          <w:p>
            <w:pPr>
              <w:ind w:left="6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4"/>
          </w:tcPr>
          <w:p>
            <w:pPr>
              <w:spacing w:after="0"/>
              <w:rPr>
                <w:sz w:val="20"/>
                <w:szCs w:val="20"/>
                <w:color w:val="auto"/>
              </w:rPr>
            </w:pPr>
            <w:r>
              <w:rPr>
                <w:rFonts w:ascii="Arial" w:cs="Arial" w:eastAsia="Arial" w:hAnsi="Arial"/>
                <w:sz w:val="18"/>
                <w:szCs w:val="18"/>
                <w:b w:val="1"/>
                <w:bCs w:val="1"/>
                <w:color w:val="auto"/>
              </w:rPr>
              <w:t>Unrecoverable</w:t>
            </w:r>
          </w:p>
        </w:tc>
        <w:tc>
          <w:tcPr>
            <w:tcW w:w="20" w:type="dxa"/>
            <w:vAlign w:val="bottom"/>
          </w:tcPr>
          <w:p>
            <w:pPr>
              <w:spacing w:after="0"/>
              <w:rPr>
                <w:sz w:val="20"/>
                <w:szCs w:val="20"/>
                <w:color w:val="auto"/>
              </w:rPr>
            </w:pPr>
          </w:p>
        </w:tc>
        <w:tc>
          <w:tcPr>
            <w:tcW w:w="940" w:type="dxa"/>
            <w:vAlign w:val="bottom"/>
            <w:gridSpan w:val="2"/>
          </w:tcPr>
          <w:p>
            <w:pPr>
              <w:ind w:left="2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83,976</w:t>
            </w:r>
          </w:p>
        </w:tc>
        <w:tc>
          <w:tcPr>
            <w:tcW w:w="2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35,000</w:t>
            </w:r>
          </w:p>
        </w:tc>
        <w:tc>
          <w:tcPr>
            <w:tcW w:w="2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118,976</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00" w:type="dxa"/>
            <w:vAlign w:val="bottom"/>
            <w:gridSpan w:val="3"/>
          </w:tcPr>
          <w:p>
            <w:pPr>
              <w:spacing w:after="0"/>
              <w:rPr>
                <w:sz w:val="20"/>
                <w:szCs w:val="20"/>
                <w:color w:val="auto"/>
              </w:rPr>
            </w:pPr>
            <w:r>
              <w:rPr>
                <w:rFonts w:ascii="Arial" w:cs="Arial" w:eastAsia="Arial" w:hAnsi="Arial"/>
                <w:sz w:val="18"/>
                <w:szCs w:val="18"/>
                <w:color w:val="auto"/>
              </w:rPr>
              <w:t>Total</w:t>
            </w: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83,976</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35,000</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118,976</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200" w:type="dxa"/>
            <w:vAlign w:val="bottom"/>
            <w:gridSpan w:val="3"/>
            <w:vMerge w:val="restart"/>
          </w:tcPr>
          <w:p>
            <w:pPr>
              <w:jc w:val="center"/>
              <w:ind w:right="100"/>
              <w:spacing w:after="0"/>
              <w:rPr>
                <w:sz w:val="20"/>
                <w:szCs w:val="20"/>
                <w:color w:val="auto"/>
              </w:rPr>
            </w:pPr>
            <w:r>
              <w:rPr>
                <w:rFonts w:ascii="Arial" w:cs="Arial" w:eastAsia="Arial" w:hAnsi="Arial"/>
                <w:sz w:val="18"/>
                <w:szCs w:val="18"/>
                <w:b w:val="1"/>
                <w:bCs w:val="1"/>
                <w:color w:val="auto"/>
                <w:w w:val="91"/>
              </w:rPr>
              <w:t>Non-accruing</w:t>
            </w:r>
          </w:p>
        </w:tc>
        <w:tc>
          <w:tcPr>
            <w:tcW w:w="20" w:type="dxa"/>
            <w:vAlign w:val="bottom"/>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7"/>
          </w:tcPr>
          <w:p>
            <w:pPr>
              <w:jc w:val="center"/>
              <w:spacing w:after="0"/>
              <w:rPr>
                <w:sz w:val="20"/>
                <w:szCs w:val="20"/>
                <w:color w:val="auto"/>
              </w:rPr>
            </w:pPr>
            <w:r>
              <w:rPr>
                <w:rFonts w:ascii="Arial" w:cs="Arial" w:eastAsia="Arial" w:hAnsi="Arial"/>
                <w:sz w:val="18"/>
                <w:szCs w:val="18"/>
                <w:b w:val="1"/>
                <w:bCs w:val="1"/>
                <w:color w:val="auto"/>
                <w:w w:val="90"/>
              </w:rPr>
              <w:t>December 31,2017</w:t>
            </w: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4200" w:type="dxa"/>
            <w:vAlign w:val="bottom"/>
            <w:gridSpan w:val="3"/>
            <w:vMerge w:val="continue"/>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60" w:type="dxa"/>
            <w:vAlign w:val="bottom"/>
            <w:gridSpan w:val="3"/>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Special</w:t>
            </w:r>
          </w:p>
        </w:tc>
        <w:tc>
          <w:tcPr>
            <w:tcW w:w="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2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4"/>
              </w:rPr>
              <w:t>loans</w:t>
            </w:r>
          </w:p>
        </w:tc>
        <w:tc>
          <w:tcPr>
            <w:tcW w:w="20" w:type="dxa"/>
            <w:vAlign w:val="bottom"/>
          </w:tcPr>
          <w:p>
            <w:pPr>
              <w:spacing w:after="0"/>
              <w:rPr>
                <w:sz w:val="20"/>
                <w:szCs w:val="20"/>
                <w:color w:val="auto"/>
              </w:rPr>
            </w:pPr>
          </w:p>
        </w:tc>
        <w:tc>
          <w:tcPr>
            <w:tcW w:w="1060" w:type="dxa"/>
            <w:vAlign w:val="bottom"/>
            <w:gridSpan w:val="3"/>
          </w:tcPr>
          <w:p>
            <w:pPr>
              <w:ind w:left="120"/>
              <w:spacing w:after="0"/>
              <w:rPr>
                <w:sz w:val="20"/>
                <w:szCs w:val="20"/>
                <w:color w:val="auto"/>
              </w:rPr>
            </w:pPr>
            <w:r>
              <w:rPr>
                <w:rFonts w:ascii="Arial" w:cs="Arial" w:eastAsia="Arial" w:hAnsi="Arial"/>
                <w:sz w:val="18"/>
                <w:szCs w:val="18"/>
                <w:b w:val="1"/>
                <w:bCs w:val="1"/>
                <w:color w:val="auto"/>
              </w:rPr>
              <w:t>Normal</w:t>
            </w:r>
          </w:p>
        </w:tc>
        <w:tc>
          <w:tcPr>
            <w:tcW w:w="20" w:type="dxa"/>
            <w:vAlign w:val="bottom"/>
          </w:tcPr>
          <w:p>
            <w:pPr>
              <w:spacing w:after="0"/>
              <w:rPr>
                <w:sz w:val="20"/>
                <w:szCs w:val="20"/>
                <w:color w:val="auto"/>
              </w:rPr>
            </w:pPr>
          </w:p>
        </w:tc>
        <w:tc>
          <w:tcPr>
            <w:tcW w:w="10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2"/>
              </w:rPr>
              <w:t>Mention</w:t>
            </w:r>
          </w:p>
        </w:tc>
        <w:tc>
          <w:tcPr>
            <w:tcW w:w="1200" w:type="dxa"/>
            <w:vAlign w:val="bottom"/>
            <w:gridSpan w:val="4"/>
          </w:tcPr>
          <w:p>
            <w:pPr>
              <w:spacing w:after="0"/>
              <w:rPr>
                <w:sz w:val="20"/>
                <w:szCs w:val="20"/>
                <w:color w:val="auto"/>
              </w:rPr>
            </w:pPr>
            <w:r>
              <w:rPr>
                <w:rFonts w:ascii="Arial" w:cs="Arial" w:eastAsia="Arial" w:hAnsi="Arial"/>
                <w:sz w:val="18"/>
                <w:szCs w:val="18"/>
                <w:b w:val="1"/>
                <w:bCs w:val="1"/>
                <w:color w:val="auto"/>
              </w:rPr>
              <w:t>Substandard</w:t>
            </w:r>
          </w:p>
        </w:tc>
        <w:tc>
          <w:tcPr>
            <w:tcW w:w="20" w:type="dxa"/>
            <w:vAlign w:val="bottom"/>
          </w:tcPr>
          <w:p>
            <w:pPr>
              <w:spacing w:after="0"/>
              <w:rPr>
                <w:sz w:val="20"/>
                <w:szCs w:val="20"/>
                <w:color w:val="auto"/>
              </w:rPr>
            </w:pPr>
          </w:p>
        </w:tc>
        <w:tc>
          <w:tcPr>
            <w:tcW w:w="1060" w:type="dxa"/>
            <w:vAlign w:val="bottom"/>
            <w:gridSpan w:val="3"/>
          </w:tcPr>
          <w:p>
            <w:pPr>
              <w:ind w:left="8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4"/>
          </w:tcPr>
          <w:p>
            <w:pPr>
              <w:spacing w:after="0"/>
              <w:rPr>
                <w:sz w:val="20"/>
                <w:szCs w:val="20"/>
                <w:color w:val="auto"/>
              </w:rPr>
            </w:pPr>
            <w:r>
              <w:rPr>
                <w:rFonts w:ascii="Arial" w:cs="Arial" w:eastAsia="Arial" w:hAnsi="Arial"/>
                <w:sz w:val="18"/>
                <w:szCs w:val="18"/>
                <w:b w:val="1"/>
                <w:bCs w:val="1"/>
                <w:color w:val="auto"/>
              </w:rPr>
              <w:t>Unrecoverable</w:t>
            </w:r>
          </w:p>
        </w:tc>
        <w:tc>
          <w:tcPr>
            <w:tcW w:w="20" w:type="dxa"/>
            <w:vAlign w:val="bottom"/>
          </w:tcPr>
          <w:p>
            <w:pPr>
              <w:spacing w:after="0"/>
              <w:rPr>
                <w:sz w:val="20"/>
                <w:szCs w:val="20"/>
                <w:color w:val="auto"/>
              </w:rPr>
            </w:pP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2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23,759</w:t>
            </w:r>
          </w:p>
        </w:tc>
        <w:tc>
          <w:tcPr>
            <w:tcW w:w="2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35,000</w:t>
            </w:r>
          </w:p>
        </w:tc>
        <w:tc>
          <w:tcPr>
            <w:tcW w:w="2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58,759</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00" w:type="dxa"/>
            <w:vAlign w:val="bottom"/>
            <w:gridSpan w:val="3"/>
          </w:tcPr>
          <w:p>
            <w:pPr>
              <w:spacing w:after="0"/>
              <w:rPr>
                <w:sz w:val="20"/>
                <w:szCs w:val="20"/>
                <w:color w:val="auto"/>
              </w:rPr>
            </w:pPr>
            <w:r>
              <w:rPr>
                <w:rFonts w:ascii="Arial" w:cs="Arial" w:eastAsia="Arial" w:hAnsi="Arial"/>
                <w:sz w:val="18"/>
                <w:szCs w:val="18"/>
                <w:color w:val="auto"/>
              </w:rPr>
              <w:t>Total</w:t>
            </w:r>
          </w:p>
        </w:tc>
        <w:tc>
          <w:tcPr>
            <w:tcW w:w="20" w:type="dxa"/>
            <w:vAlign w:val="bottom"/>
          </w:tcPr>
          <w:p>
            <w:pPr>
              <w:spacing w:after="0"/>
              <w:rPr>
                <w:sz w:val="19"/>
                <w:szCs w:val="19"/>
                <w:color w:val="auto"/>
              </w:rPr>
            </w:pP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9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23,759</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35,000</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gridSpan w:val="2"/>
          </w:tcPr>
          <w:p>
            <w:pPr>
              <w:jc w:val="right"/>
              <w:ind w:right="590"/>
              <w:spacing w:after="0"/>
              <w:rPr>
                <w:sz w:val="20"/>
                <w:szCs w:val="20"/>
                <w:color w:val="auto"/>
              </w:rPr>
            </w:pPr>
            <w:r>
              <w:rPr>
                <w:rFonts w:ascii="Arial" w:cs="Arial" w:eastAsia="Arial" w:hAnsi="Arial"/>
                <w:sz w:val="18"/>
                <w:szCs w:val="18"/>
                <w:color w:val="auto"/>
                <w:w w:val="79"/>
              </w:rPr>
              <w:t>80</w:t>
            </w: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77" w:right="239" w:bottom="1440" w:gutter="0" w:footer="0" w:header="0"/>
        </w:sectPr>
      </w:pPr>
    </w:p>
    <w:bookmarkStart w:id="83" w:name="page84"/>
    <w:bookmarkEnd w:id="8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480" w:type="dxa"/>
            <w:vAlign w:val="bottom"/>
            <w:gridSpan w:val="3"/>
          </w:tcPr>
          <w:p>
            <w:pPr>
              <w:spacing w:after="0"/>
              <w:rPr>
                <w:sz w:val="20"/>
                <w:szCs w:val="20"/>
                <w:color w:val="auto"/>
              </w:rPr>
            </w:pPr>
            <w:r>
              <w:rPr>
                <w:rFonts w:ascii="Arial" w:cs="Arial" w:eastAsia="Arial" w:hAnsi="Arial"/>
                <w:sz w:val="18"/>
                <w:szCs w:val="18"/>
                <w:b w:val="1"/>
                <w:bCs w:val="1"/>
                <w:color w:val="auto"/>
              </w:rPr>
              <w:t>22. Applicable laws and regulations (continued)</w:t>
            </w:r>
          </w:p>
        </w:tc>
        <w:tc>
          <w:tcPr>
            <w:tcW w:w="1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92"/>
        </w:trPr>
        <w:tc>
          <w:tcPr>
            <w:tcW w:w="340" w:type="dxa"/>
            <w:vAlign w:val="bottom"/>
          </w:tcPr>
          <w:p>
            <w:pPr>
              <w:spacing w:after="0"/>
              <w:rPr>
                <w:sz w:val="24"/>
                <w:szCs w:val="24"/>
                <w:color w:val="auto"/>
              </w:rPr>
            </w:pPr>
          </w:p>
        </w:tc>
        <w:tc>
          <w:tcPr>
            <w:tcW w:w="7140" w:type="dxa"/>
            <w:vAlign w:val="bottom"/>
            <w:gridSpan w:val="2"/>
          </w:tcPr>
          <w:p>
            <w:pPr>
              <w:spacing w:after="0"/>
              <w:rPr>
                <w:sz w:val="20"/>
                <w:szCs w:val="20"/>
                <w:color w:val="auto"/>
              </w:rPr>
            </w:pPr>
            <w:r>
              <w:rPr>
                <w:rFonts w:ascii="Arial" w:cs="Arial" w:eastAsia="Arial" w:hAnsi="Arial"/>
                <w:sz w:val="18"/>
                <w:szCs w:val="18"/>
                <w:color w:val="auto"/>
              </w:rPr>
              <w:t>Specific provisions (continued)</w:t>
            </w:r>
          </w:p>
        </w:tc>
        <w:tc>
          <w:tcPr>
            <w:tcW w:w="1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4"/>
        </w:trPr>
        <w:tc>
          <w:tcPr>
            <w:tcW w:w="340" w:type="dxa"/>
            <w:vAlign w:val="bottom"/>
          </w:tcPr>
          <w:p>
            <w:pPr>
              <w:spacing w:after="0"/>
              <w:rPr>
                <w:sz w:val="24"/>
                <w:szCs w:val="24"/>
                <w:color w:val="auto"/>
              </w:rPr>
            </w:pPr>
          </w:p>
        </w:tc>
        <w:tc>
          <w:tcPr>
            <w:tcW w:w="2260" w:type="dxa"/>
            <w:vAlign w:val="bottom"/>
            <w:tcBorders>
              <w:top w:val="single" w:sz="8" w:color="auto"/>
            </w:tcBorders>
          </w:tcPr>
          <w:p>
            <w:pPr>
              <w:spacing w:after="0"/>
              <w:rPr>
                <w:sz w:val="24"/>
                <w:szCs w:val="24"/>
                <w:color w:val="auto"/>
              </w:rPr>
            </w:pPr>
          </w:p>
        </w:tc>
        <w:tc>
          <w:tcPr>
            <w:tcW w:w="4880" w:type="dxa"/>
            <w:vAlign w:val="bottom"/>
          </w:tcPr>
          <w:p>
            <w:pPr>
              <w:spacing w:after="0"/>
              <w:rPr>
                <w:sz w:val="24"/>
                <w:szCs w:val="24"/>
                <w:color w:val="auto"/>
              </w:rPr>
            </w:pPr>
          </w:p>
        </w:tc>
        <w:tc>
          <w:tcPr>
            <w:tcW w:w="1960" w:type="dxa"/>
            <w:vAlign w:val="bottom"/>
            <w:gridSpan w:val="2"/>
          </w:tcPr>
          <w:p>
            <w:pPr>
              <w:ind w:left="320"/>
              <w:spacing w:after="0"/>
              <w:rPr>
                <w:sz w:val="20"/>
                <w:szCs w:val="20"/>
                <w:color w:val="auto"/>
              </w:rPr>
            </w:pPr>
            <w:r>
              <w:rPr>
                <w:rFonts w:ascii="Arial" w:cs="Arial" w:eastAsia="Arial" w:hAnsi="Arial"/>
                <w:sz w:val="18"/>
                <w:szCs w:val="18"/>
                <w:b w:val="1"/>
                <w:bCs w:val="1"/>
                <w:color w:val="auto"/>
              </w:rPr>
              <w:t>September 30,</w:t>
            </w:r>
          </w:p>
        </w:tc>
        <w:tc>
          <w:tcPr>
            <w:tcW w:w="1840" w:type="dxa"/>
            <w:vAlign w:val="bottom"/>
            <w:gridSpan w:val="3"/>
          </w:tcPr>
          <w:p>
            <w:pPr>
              <w:ind w:left="34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60" w:type="dxa"/>
            <w:vAlign w:val="bottom"/>
            <w:tcBorders>
              <w:bottom w:val="single" w:sz="8" w:color="CCEEFF"/>
            </w:tcBorders>
          </w:tcPr>
          <w:p>
            <w:pPr>
              <w:spacing w:after="0"/>
              <w:rPr>
                <w:sz w:val="20"/>
                <w:szCs w:val="20"/>
                <w:color w:val="auto"/>
              </w:rPr>
            </w:pPr>
          </w:p>
        </w:tc>
        <w:tc>
          <w:tcPr>
            <w:tcW w:w="488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140" w:type="dxa"/>
            <w:vAlign w:val="bottom"/>
            <w:gridSpan w:val="2"/>
          </w:tcPr>
          <w:p>
            <w:pPr>
              <w:ind w:left="160"/>
              <w:spacing w:after="0"/>
              <w:rPr>
                <w:sz w:val="20"/>
                <w:szCs w:val="20"/>
                <w:color w:val="auto"/>
              </w:rPr>
            </w:pPr>
            <w:r>
              <w:rPr>
                <w:rFonts w:ascii="Arial" w:cs="Arial" w:eastAsia="Arial" w:hAnsi="Arial"/>
                <w:sz w:val="18"/>
                <w:szCs w:val="18"/>
                <w:color w:val="auto"/>
              </w:rPr>
              <w:t>Private corporations</w:t>
            </w:r>
          </w:p>
        </w:tc>
        <w:tc>
          <w:tcPr>
            <w:tcW w:w="1960" w:type="dxa"/>
            <w:vAlign w:val="bottom"/>
            <w:gridSpan w:val="2"/>
          </w:tcPr>
          <w:p>
            <w:pPr>
              <w:jc w:val="right"/>
              <w:ind w:right="220"/>
              <w:spacing w:after="0"/>
              <w:rPr>
                <w:sz w:val="20"/>
                <w:szCs w:val="20"/>
                <w:color w:val="auto"/>
              </w:rPr>
            </w:pPr>
            <w:r>
              <w:rPr>
                <w:rFonts w:ascii="Arial" w:cs="Arial" w:eastAsia="Arial" w:hAnsi="Arial"/>
                <w:sz w:val="18"/>
                <w:szCs w:val="18"/>
                <w:color w:val="auto"/>
              </w:rPr>
              <w:t>83,976</w:t>
            </w:r>
          </w:p>
        </w:tc>
        <w:tc>
          <w:tcPr>
            <w:tcW w:w="1760" w:type="dxa"/>
            <w:vAlign w:val="bottom"/>
            <w:gridSpan w:val="2"/>
          </w:tcPr>
          <w:p>
            <w:pPr>
              <w:jc w:val="right"/>
              <w:ind w:right="20"/>
              <w:spacing w:after="0"/>
              <w:rPr>
                <w:sz w:val="20"/>
                <w:szCs w:val="20"/>
                <w:color w:val="auto"/>
              </w:rPr>
            </w:pPr>
            <w:r>
              <w:rPr>
                <w:rFonts w:ascii="Arial" w:cs="Arial" w:eastAsia="Arial" w:hAnsi="Arial"/>
                <w:sz w:val="18"/>
                <w:szCs w:val="18"/>
                <w:color w:val="auto"/>
              </w:rPr>
              <w:t>23,759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1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Middle-market companies</w:t>
            </w:r>
          </w:p>
        </w:tc>
        <w:tc>
          <w:tcPr>
            <w:tcW w:w="1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17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35,000</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71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 non-accruing loans</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118,976</w:t>
            </w:r>
          </w:p>
        </w:tc>
        <w:tc>
          <w:tcPr>
            <w:tcW w:w="220" w:type="dxa"/>
            <w:vAlign w:val="bottom"/>
            <w:tcBorders>
              <w:bottom w:val="single" w:sz="8" w:color="CCEEFF"/>
            </w:tcBorders>
          </w:tcPr>
          <w:p>
            <w:pPr>
              <w:spacing w:after="0"/>
              <w:rPr>
                <w:sz w:val="22"/>
                <w:szCs w:val="22"/>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14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Interests that would be reversed if the loans had been classified as non-accruing loans</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4,583</w:t>
            </w:r>
          </w:p>
        </w:tc>
        <w:tc>
          <w:tcPr>
            <w:tcW w:w="22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3,257</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140" w:type="dxa"/>
            <w:vAlign w:val="bottom"/>
            <w:gridSpan w:val="2"/>
            <w:vMerge w:val="restart"/>
          </w:tcPr>
          <w:p>
            <w:pPr>
              <w:spacing w:after="0"/>
              <w:rPr>
                <w:sz w:val="20"/>
                <w:szCs w:val="20"/>
                <w:color w:val="auto"/>
              </w:rPr>
            </w:pPr>
            <w:r>
              <w:rPr>
                <w:rFonts w:ascii="Arial" w:cs="Arial" w:eastAsia="Arial" w:hAnsi="Arial"/>
                <w:sz w:val="18"/>
                <w:szCs w:val="18"/>
                <w:color w:val="auto"/>
              </w:rPr>
              <w:t>Income from collected interest on non-accruing loans</w:t>
            </w:r>
          </w:p>
        </w:tc>
        <w:tc>
          <w:tcPr>
            <w:tcW w:w="1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140" w:type="dxa"/>
            <w:vAlign w:val="bottom"/>
            <w:gridSpan w:val="2"/>
            <w:vMerge w:val="continue"/>
          </w:tcPr>
          <w:p>
            <w:pPr>
              <w:spacing w:after="0"/>
              <w:rPr>
                <w:sz w:val="17"/>
                <w:szCs w:val="17"/>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1,381</w:t>
            </w:r>
          </w:p>
        </w:tc>
        <w:tc>
          <w:tcPr>
            <w:tcW w:w="220" w:type="dxa"/>
            <w:vAlign w:val="bottom"/>
          </w:tcPr>
          <w:p>
            <w:pPr>
              <w:spacing w:after="0"/>
              <w:rPr>
                <w:sz w:val="17"/>
                <w:szCs w:val="17"/>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551</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488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risk coverage - dynamic provision</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Superintendence of Banks of Panama by means of the Rule No. 4-2013, which governs as of June 30, 2014 and repeals in all its parts the Rule No. 6-2000 and all its amendments, establish the compulsory constitution of a dynamic provision in addition to the specific provision as part of the total provisions for credit risk coverage.</w:t>
      </w:r>
    </w:p>
    <w:p>
      <w:pPr>
        <w:spacing w:after="0" w:line="18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dynamic provision is an equity consignment associated to the regulatory capital, but does not replace or offset the capital adequacy requirements established by the Superintendence of Banks of Panama. The Rule in Article 50, numeral 2, establishes the period of adjustment where banks must ensure that they have the minimum percentages of risk-weighted assets, without prejudice to the Bank's decision to apply the corresponding amount in accordance with what establishes Article 37 of this Rule.</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of the identified differences that rise between the application of the International Financial Reporting Standards (IFRS) and the application of prudential regulations issued by the SBP; as well as the additional disclosures require to be included in the notes to the consolidated financial statements.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parameters established in this methodology are the following:</w:t>
      </w:r>
    </w:p>
    <w:p>
      <w:pPr>
        <w:spacing w:after="0" w:line="225" w:lineRule="exact"/>
        <w:rPr>
          <w:sz w:val="20"/>
          <w:szCs w:val="20"/>
          <w:color w:val="auto"/>
        </w:rPr>
      </w:pPr>
    </w:p>
    <w:p>
      <w:pPr>
        <w:ind w:left="660" w:hanging="314"/>
        <w:spacing w:after="0" w:line="277" w:lineRule="auto"/>
        <w:tabs>
          <w:tab w:leader="none" w:pos="660" w:val="left"/>
        </w:tabs>
        <w:numPr>
          <w:ilvl w:val="1"/>
          <w:numId w:val="99"/>
        </w:numPr>
        <w:rPr>
          <w:rFonts w:ascii="Arial" w:cs="Arial" w:eastAsia="Arial" w:hAnsi="Arial"/>
          <w:sz w:val="18"/>
          <w:szCs w:val="18"/>
          <w:color w:val="auto"/>
        </w:rPr>
      </w:pPr>
      <w:r>
        <w:rPr>
          <w:rFonts w:ascii="Arial" w:cs="Arial" w:eastAsia="Arial" w:hAnsi="Arial"/>
          <w:sz w:val="18"/>
          <w:szCs w:val="18"/>
          <w:color w:val="auto"/>
        </w:rPr>
        <w:t>“The calculations of how the accounting balances would be applied in accordance to IFRS and the prudential standards issued by the Superintendence of Banks of Panama will be carried out and the respective figures will be compared.</w:t>
      </w:r>
    </w:p>
    <w:p>
      <w:pPr>
        <w:spacing w:after="0" w:line="170" w:lineRule="exact"/>
        <w:rPr>
          <w:rFonts w:ascii="Arial" w:cs="Arial" w:eastAsia="Arial" w:hAnsi="Arial"/>
          <w:sz w:val="18"/>
          <w:szCs w:val="18"/>
          <w:color w:val="auto"/>
        </w:rPr>
      </w:pPr>
    </w:p>
    <w:p>
      <w:pPr>
        <w:ind w:left="660" w:hanging="314"/>
        <w:spacing w:after="0" w:line="277" w:lineRule="auto"/>
        <w:tabs>
          <w:tab w:leader="none" w:pos="660" w:val="left"/>
        </w:tabs>
        <w:numPr>
          <w:ilvl w:val="1"/>
          <w:numId w:val="99"/>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100"/>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recorded in profit and loss, and the difference between IFRS calculation compared to the prudential standards calculation will be appropriated in the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hanging="314"/>
        <w:spacing w:after="0" w:line="277" w:lineRule="auto"/>
        <w:tabs>
          <w:tab w:leader="none" w:pos="6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The regulatory credit reserve mentioned in numeral 3 of this Rule may not be reversed against the retained earnings as long as there are differences between the IFRS and the originated prudential regulations”.</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77" w:right="239" w:bottom="1440" w:gutter="0" w:footer="0" w:header="0"/>
        </w:sectPr>
      </w:pPr>
    </w:p>
    <w:bookmarkStart w:id="84" w:name="page85"/>
    <w:bookmarkEnd w:id="8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260" w:hanging="332"/>
        <w:spacing w:after="0" w:line="566" w:lineRule="auto"/>
        <w:tabs>
          <w:tab w:leader="none" w:pos="340" w:val="left"/>
        </w:tabs>
        <w:numPr>
          <w:ilvl w:val="0"/>
          <w:numId w:val="10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Credit risk coverage - dynamic provision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Superintendence of Banks of Panama has been used to present the difference between the application of the accounting standard used and the prudential regulations of the Superintendence of Banks of Panama to comply with the requirements of the Rule No. 4-2013.</w:t>
      </w:r>
    </w:p>
    <w:p>
      <w:pPr>
        <w:spacing w:after="0" w:line="186"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As of September 30, 2018, and December 31, 2017, the total amount of the dynamic provision and the regulatory credit reserve calculated according to the guidelines of Rule No. 4-2013 of the Superintendence of Banks of Panama is $108,781 and $ 129,254. respectively, taken in full from retained earnings for purposes of compliance with local regulatory requirements. This appropriation is restricted to distributing dividends in order to comply with local regulatory. As follows, the detail:</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320" w:type="dxa"/>
            <w:vAlign w:val="bottom"/>
          </w:tcPr>
          <w:p>
            <w:pPr>
              <w:spacing w:after="0"/>
              <w:rPr>
                <w:sz w:val="18"/>
                <w:szCs w:val="18"/>
                <w:color w:val="auto"/>
              </w:rPr>
            </w:pPr>
          </w:p>
        </w:tc>
        <w:tc>
          <w:tcPr>
            <w:tcW w:w="17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September 30,</w:t>
            </w:r>
          </w:p>
        </w:tc>
        <w:tc>
          <w:tcPr>
            <w:tcW w:w="1620" w:type="dxa"/>
            <w:vAlign w:val="bottom"/>
            <w:gridSpan w:val="2"/>
          </w:tcPr>
          <w:p>
            <w:pPr>
              <w:ind w:left="2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320" w:type="dxa"/>
            <w:vAlign w:val="bottom"/>
            <w:tcBorders>
              <w:bottom w:val="single" w:sz="8" w:color="CCEEFF"/>
            </w:tcBorders>
          </w:tcPr>
          <w:p>
            <w:pPr>
              <w:spacing w:after="0"/>
              <w:rPr>
                <w:sz w:val="20"/>
                <w:szCs w:val="20"/>
                <w:color w:val="auto"/>
              </w:rPr>
            </w:pPr>
          </w:p>
        </w:tc>
        <w:tc>
          <w:tcPr>
            <w:tcW w:w="154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bottom w:val="single" w:sz="8" w:color="CCEEFF"/>
            </w:tcBorders>
          </w:tcPr>
          <w:p>
            <w:pPr>
              <w:spacing w:after="0"/>
              <w:rPr>
                <w:sz w:val="20"/>
                <w:szCs w:val="20"/>
                <w:color w:val="auto"/>
              </w:rPr>
            </w:pPr>
          </w:p>
        </w:tc>
        <w:tc>
          <w:tcPr>
            <w:tcW w:w="154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2017</w:t>
            </w:r>
          </w:p>
        </w:tc>
        <w:tc>
          <w:tcPr>
            <w:tcW w:w="80" w:type="dxa"/>
            <w:vAlign w:val="bottom"/>
            <w:tcBorders>
              <w:bottom w:val="single" w:sz="8" w:color="CCEEFF"/>
            </w:tcBorders>
          </w:tcPr>
          <w:p>
            <w:pPr>
              <w:spacing w:after="0"/>
              <w:rPr>
                <w:sz w:val="20"/>
                <w:szCs w:val="20"/>
                <w:color w:val="auto"/>
              </w:rPr>
            </w:pPr>
          </w:p>
        </w:tc>
      </w:tr>
      <w:tr>
        <w:trPr>
          <w:trHeight w:val="210"/>
        </w:trPr>
        <w:tc>
          <w:tcPr>
            <w:tcW w:w="632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108,756</w:t>
            </w:r>
          </w:p>
        </w:tc>
        <w:tc>
          <w:tcPr>
            <w:tcW w:w="200" w:type="dxa"/>
            <w:vAlign w:val="bottom"/>
            <w:shd w:val="clear" w:color="auto" w:fill="CCEEFF"/>
          </w:tcPr>
          <w:p>
            <w:pPr>
              <w:spacing w:after="0"/>
              <w:rPr>
                <w:sz w:val="18"/>
                <w:szCs w:val="18"/>
                <w:color w:val="auto"/>
              </w:rPr>
            </w:pPr>
          </w:p>
        </w:tc>
        <w:tc>
          <w:tcPr>
            <w:tcW w:w="1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108,756</w:t>
            </w:r>
          </w:p>
        </w:tc>
        <w:tc>
          <w:tcPr>
            <w:tcW w:w="80" w:type="dxa"/>
            <w:vAlign w:val="bottom"/>
            <w:shd w:val="clear" w:color="auto" w:fill="CCEEFF"/>
          </w:tcPr>
          <w:p>
            <w:pPr>
              <w:spacing w:after="0"/>
              <w:rPr>
                <w:sz w:val="18"/>
                <w:szCs w:val="18"/>
                <w:color w:val="auto"/>
              </w:rPr>
            </w:pPr>
          </w:p>
        </w:tc>
      </w:tr>
      <w:tr>
        <w:trPr>
          <w:trHeight w:val="230"/>
        </w:trPr>
        <w:tc>
          <w:tcPr>
            <w:tcW w:w="632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740" w:type="dxa"/>
            <w:vAlign w:val="bottom"/>
            <w:gridSpan w:val="2"/>
          </w:tcPr>
          <w:p>
            <w:pPr>
              <w:jc w:val="right"/>
              <w:ind w:right="200"/>
              <w:spacing w:after="0"/>
              <w:rPr>
                <w:sz w:val="20"/>
                <w:szCs w:val="20"/>
                <w:color w:val="auto"/>
              </w:rPr>
            </w:pPr>
            <w:r>
              <w:rPr>
                <w:rFonts w:ascii="Arial" w:cs="Arial" w:eastAsia="Arial" w:hAnsi="Arial"/>
                <w:sz w:val="18"/>
                <w:szCs w:val="18"/>
                <w:color w:val="auto"/>
              </w:rPr>
              <w:t>25</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20,498</w:t>
            </w:r>
          </w:p>
        </w:tc>
      </w:tr>
      <w:tr>
        <w:trPr>
          <w:trHeight w:val="223"/>
        </w:trPr>
        <w:tc>
          <w:tcPr>
            <w:tcW w:w="63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108,781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129,254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3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102"/>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$0.385 US dollar cent per share corresponding to the third quarter of 2018. The cash dividend was approved by the Board of Directors at its meeting held on October 23, 2018 and it is payable on November 20, 2018 to the Bank’s stockholders as of November 06, 2018 record date.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877"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9A1DEAA"/>
    <w:multiLevelType w:val="hybridMultilevel"/>
    <w:lvl w:ilvl="0">
      <w:lvlJc w:val="left"/>
      <w:lvlText w:val="%1."/>
      <w:numFmt w:val="decimal"/>
      <w:start w:val="1"/>
    </w:lvl>
    <w:lvl w:ilvl="1">
      <w:lvlJc w:val="left"/>
      <w:lvlText w:val="-"/>
      <w:numFmt w:val="bullet"/>
      <w:start w:val="1"/>
    </w:lvl>
  </w:abstractNum>
  <w:abstractNum w:abstractNumId="1">
    <w:nsid w:val="75C6C33A"/>
    <w:multiLevelType w:val="hybridMultilevel"/>
    <w:lvl w:ilvl="0">
      <w:lvlJc w:val="left"/>
      <w:lvlText w:val="%1."/>
      <w:numFmt w:val="decimal"/>
      <w:start w:val="1"/>
    </w:lvl>
  </w:abstractNum>
  <w:abstractNum w:abstractNumId="2">
    <w:nsid w:val="12E685FB"/>
    <w:multiLevelType w:val="hybridMultilevel"/>
    <w:lvl w:ilvl="0">
      <w:lvlJc w:val="left"/>
      <w:lvlText w:val="%1."/>
      <w:numFmt w:val="decimal"/>
      <w:start w:val="3"/>
    </w:lvl>
  </w:abstractNum>
  <w:abstractNum w:abstractNumId="3">
    <w:nsid w:val="70C6A529"/>
    <w:multiLevelType w:val="hybridMultilevel"/>
    <w:lvl w:ilvl="0">
      <w:lvlJc w:val="left"/>
      <w:lvlText w:val="%1."/>
      <w:numFmt w:val="decimal"/>
      <w:start w:val="3"/>
    </w:lvl>
  </w:abstractNum>
  <w:abstractNum w:abstractNumId="4">
    <w:nsid w:val="520EEDD1"/>
    <w:multiLevelType w:val="hybridMultilevel"/>
    <w:lvl w:ilvl="0">
      <w:lvlJc w:val="left"/>
      <w:lvlText w:val="(%1)"/>
      <w:numFmt w:val="decimal"/>
      <w:start w:val="1"/>
    </w:lvl>
  </w:abstractNum>
  <w:abstractNum w:abstractNumId="5">
    <w:nsid w:val="374A3FE6"/>
    <w:multiLevelType w:val="hybridMultilevel"/>
    <w:lvl w:ilvl="0">
      <w:lvlJc w:val="left"/>
      <w:lvlText w:val="%1."/>
      <w:numFmt w:val="decimal"/>
      <w:start w:val="5"/>
    </w:lvl>
  </w:abstractNum>
  <w:abstractNum w:abstractNumId="6">
    <w:nsid w:val="4F4EF005"/>
    <w:multiLevelType w:val="hybridMultilevel"/>
    <w:lvl w:ilvl="0">
      <w:lvlJc w:val="left"/>
      <w:lvlText w:val="(%1)"/>
      <w:numFmt w:val="decimal"/>
      <w:start w:val="1"/>
    </w:lvl>
  </w:abstractNum>
  <w:abstractNum w:abstractNumId="7">
    <w:nsid w:val="23F9C13C"/>
    <w:multiLevelType w:val="hybridMultilevel"/>
    <w:lvl w:ilvl="0">
      <w:lvlJc w:val="left"/>
      <w:lvlText w:val="%1."/>
      <w:numFmt w:val="decimal"/>
      <w:start w:val="5"/>
    </w:lvl>
  </w:abstractNum>
  <w:abstractNum w:abstractNumId="8">
    <w:nsid w:val="649BB77C"/>
    <w:multiLevelType w:val="hybridMultilevel"/>
    <w:lvl w:ilvl="0">
      <w:lvlJc w:val="left"/>
      <w:lvlText w:val="%1."/>
      <w:numFmt w:val="decimal"/>
      <w:start w:val="5"/>
    </w:lvl>
  </w:abstractNum>
  <w:abstractNum w:abstractNumId="9">
    <w:nsid w:val="275AC794"/>
    <w:multiLevelType w:val="hybridMultilevel"/>
    <w:lvl w:ilvl="0">
      <w:lvlJc w:val="left"/>
      <w:lvlText w:val="(%1)"/>
      <w:numFmt w:val="decimal"/>
      <w:start w:val="1"/>
    </w:lvl>
  </w:abstractNum>
  <w:abstractNum w:abstractNumId="10">
    <w:nsid w:val="39386575"/>
    <w:multiLevelType w:val="hybridMultilevel"/>
    <w:lvl w:ilvl="0">
      <w:lvlJc w:val="left"/>
      <w:lvlText w:val="%1."/>
      <w:numFmt w:val="decimal"/>
      <w:start w:val="5"/>
    </w:lvl>
  </w:abstractNum>
  <w:abstractNum w:abstractNumId="11">
    <w:nsid w:val="1CF10FD8"/>
    <w:multiLevelType w:val="hybridMultilevel"/>
    <w:lvl w:ilvl="0">
      <w:lvlJc w:val="left"/>
      <w:lvlText w:val="(%1)"/>
      <w:numFmt w:val="decimal"/>
      <w:start w:val="1"/>
    </w:lvl>
  </w:abstractNum>
  <w:abstractNum w:abstractNumId="12">
    <w:nsid w:val="180115BE"/>
    <w:multiLevelType w:val="hybridMultilevel"/>
    <w:lvl w:ilvl="0">
      <w:lvlJc w:val="left"/>
      <w:lvlText w:val="%1."/>
      <w:numFmt w:val="decimal"/>
      <w:start w:val="5"/>
    </w:lvl>
  </w:abstractNum>
  <w:abstractNum w:abstractNumId="13">
    <w:nsid w:val="235BA861"/>
    <w:multiLevelType w:val="hybridMultilevel"/>
    <w:lvl w:ilvl="0">
      <w:lvlJc w:val="left"/>
      <w:lvlText w:val="(%1)"/>
      <w:numFmt w:val="decimal"/>
      <w:start w:val="4"/>
    </w:lvl>
  </w:abstractNum>
  <w:abstractNum w:abstractNumId="14">
    <w:nsid w:val="47398C89"/>
    <w:multiLevelType w:val="hybridMultilevel"/>
    <w:lvl w:ilvl="0">
      <w:lvlJc w:val="left"/>
      <w:lvlText w:val="%1."/>
      <w:numFmt w:val="decimal"/>
      <w:start w:val="5"/>
    </w:lvl>
  </w:abstractNum>
  <w:abstractNum w:abstractNumId="15">
    <w:nsid w:val="354FE9F9"/>
    <w:multiLevelType w:val="hybridMultilevel"/>
    <w:lvl w:ilvl="0">
      <w:lvlJc w:val="left"/>
      <w:lvlText w:val="(%1)"/>
      <w:numFmt w:val="decimal"/>
      <w:start w:val="1"/>
    </w:lvl>
  </w:abstractNum>
  <w:abstractNum w:abstractNumId="16">
    <w:nsid w:val="15B5AF5C"/>
    <w:multiLevelType w:val="hybridMultilevel"/>
    <w:lvl w:ilvl="0">
      <w:lvlJc w:val="left"/>
      <w:lvlText w:val="%1."/>
      <w:numFmt w:val="decimal"/>
      <w:start w:val="5"/>
    </w:lvl>
  </w:abstractNum>
  <w:abstractNum w:abstractNumId="17">
    <w:nsid w:val="741226BB"/>
    <w:multiLevelType w:val="hybridMultilevel"/>
    <w:lvl w:ilvl="0">
      <w:lvlJc w:val="left"/>
      <w:lvlText w:val="(%1)"/>
      <w:numFmt w:val="decimal"/>
      <w:start w:val="3"/>
    </w:lvl>
  </w:abstractNum>
  <w:abstractNum w:abstractNumId="18">
    <w:nsid w:val="D34B6A8"/>
    <w:multiLevelType w:val="hybridMultilevel"/>
    <w:lvl w:ilvl="0">
      <w:lvlJc w:val="left"/>
      <w:lvlText w:val="%1."/>
      <w:numFmt w:val="decimal"/>
      <w:start w:val="5"/>
    </w:lvl>
  </w:abstractNum>
  <w:abstractNum w:abstractNumId="19">
    <w:nsid w:val="10233C99"/>
    <w:multiLevelType w:val="hybridMultilevel"/>
    <w:lvl w:ilvl="0">
      <w:lvlJc w:val="left"/>
      <w:lvlText w:val="(%1)"/>
      <w:numFmt w:val="decimal"/>
      <w:start w:val="1"/>
    </w:lvl>
  </w:abstractNum>
  <w:abstractNum w:abstractNumId="20">
    <w:nsid w:val="3F6AB60F"/>
    <w:multiLevelType w:val="hybridMultilevel"/>
    <w:lvl w:ilvl="0">
      <w:lvlJc w:val="left"/>
      <w:lvlText w:val="%1."/>
      <w:numFmt w:val="decimal"/>
      <w:start w:val="5"/>
    </w:lvl>
  </w:abstractNum>
  <w:abstractNum w:abstractNumId="21">
    <w:nsid w:val="61574095"/>
    <w:multiLevelType w:val="hybridMultilevel"/>
    <w:lvl w:ilvl="0">
      <w:lvlJc w:val="left"/>
      <w:lvlText w:val="(%1)"/>
      <w:numFmt w:val="decimal"/>
      <w:start w:val="1"/>
    </w:lvl>
  </w:abstractNum>
  <w:abstractNum w:abstractNumId="22">
    <w:nsid w:val="7E0C57B1"/>
    <w:multiLevelType w:val="hybridMultilevel"/>
    <w:lvl w:ilvl="0">
      <w:lvlJc w:val="left"/>
      <w:lvlText w:val="%1."/>
      <w:numFmt w:val="decimal"/>
      <w:start w:val="5"/>
    </w:lvl>
  </w:abstractNum>
  <w:abstractNum w:abstractNumId="23">
    <w:nsid w:val="77AE35EB"/>
    <w:multiLevelType w:val="hybridMultilevel"/>
    <w:lvl w:ilvl="0">
      <w:lvlJc w:val="left"/>
      <w:lvlText w:val="%1."/>
      <w:numFmt w:val="decimal"/>
      <w:start w:val="5"/>
    </w:lvl>
  </w:abstractNum>
  <w:abstractNum w:abstractNumId="24">
    <w:nsid w:val="579BE4F1"/>
    <w:multiLevelType w:val="hybridMultilevel"/>
    <w:lvl w:ilvl="0">
      <w:lvlJc w:val="left"/>
      <w:lvlText w:val="(%1)"/>
      <w:numFmt w:val="decimal"/>
      <w:start w:val="1"/>
    </w:lvl>
  </w:abstractNum>
  <w:abstractNum w:abstractNumId="25">
    <w:nsid w:val="310C50B3"/>
    <w:multiLevelType w:val="hybridMultilevel"/>
    <w:lvl w:ilvl="0">
      <w:lvlJc w:val="left"/>
      <w:lvlText w:val="%1."/>
      <w:numFmt w:val="decimal"/>
      <w:start w:val="5"/>
    </w:lvl>
  </w:abstractNum>
  <w:abstractNum w:abstractNumId="26">
    <w:nsid w:val="5FF87E05"/>
    <w:multiLevelType w:val="hybridMultilevel"/>
    <w:lvl w:ilvl="0">
      <w:lvlJc w:val="left"/>
      <w:lvlText w:val="%1."/>
      <w:numFmt w:val="decimal"/>
      <w:start w:val="5"/>
    </w:lvl>
  </w:abstractNum>
  <w:abstractNum w:abstractNumId="27">
    <w:nsid w:val="2F305DEF"/>
    <w:multiLevelType w:val="hybridMultilevel"/>
    <w:lvl w:ilvl="0">
      <w:lvlJc w:val="left"/>
      <w:lvlText w:val="%1."/>
      <w:numFmt w:val="decimal"/>
      <w:start w:val="5"/>
    </w:lvl>
  </w:abstractNum>
  <w:abstractNum w:abstractNumId="28">
    <w:nsid w:val="25A70BF7"/>
    <w:multiLevelType w:val="hybridMultilevel"/>
    <w:lvl w:ilvl="0">
      <w:lvlJc w:val="left"/>
      <w:lvlText w:val="%1."/>
      <w:numFmt w:val="decimal"/>
      <w:start w:val="5"/>
    </w:lvl>
  </w:abstractNum>
  <w:abstractNum w:abstractNumId="29">
    <w:nsid w:val="1DBABF00"/>
    <w:multiLevelType w:val="hybridMultilevel"/>
    <w:lvl w:ilvl="0">
      <w:lvlJc w:val="left"/>
      <w:lvlText w:val="%1."/>
      <w:numFmt w:val="decimal"/>
      <w:start w:val="5"/>
    </w:lvl>
  </w:abstractNum>
  <w:abstractNum w:abstractNumId="30">
    <w:nsid w:val="4AD084E9"/>
    <w:multiLevelType w:val="hybridMultilevel"/>
    <w:lvl w:ilvl="0">
      <w:lvlJc w:val="left"/>
      <w:lvlText w:val="(%1)"/>
      <w:numFmt w:val="decimal"/>
      <w:start w:val="1"/>
    </w:lvl>
  </w:abstractNum>
  <w:abstractNum w:abstractNumId="31">
    <w:nsid w:val="1F48EAA1"/>
    <w:multiLevelType w:val="hybridMultilevel"/>
    <w:lvl w:ilvl="0">
      <w:lvlJc w:val="left"/>
      <w:lvlText w:val="%1."/>
      <w:numFmt w:val="decimal"/>
      <w:start w:val="5"/>
    </w:lvl>
  </w:abstractNum>
  <w:abstractNum w:abstractNumId="32">
    <w:nsid w:val="1381823A"/>
    <w:multiLevelType w:val="hybridMultilevel"/>
    <w:lvl w:ilvl="0">
      <w:lvlJc w:val="left"/>
      <w:lvlText w:val="(%1)"/>
      <w:numFmt w:val="decimal"/>
      <w:start w:val="1"/>
    </w:lvl>
  </w:abstractNum>
  <w:abstractNum w:abstractNumId="33">
    <w:nsid w:val="5DB70AE5"/>
    <w:multiLevelType w:val="hybridMultilevel"/>
    <w:lvl w:ilvl="0">
      <w:lvlJc w:val="left"/>
      <w:lvlText w:val="%1."/>
      <w:numFmt w:val="decimal"/>
      <w:start w:val="5"/>
    </w:lvl>
  </w:abstractNum>
  <w:abstractNum w:abstractNumId="34">
    <w:nsid w:val="100F8FCA"/>
    <w:multiLevelType w:val="hybridMultilevel"/>
    <w:lvl w:ilvl="0">
      <w:lvlJc w:val="left"/>
      <w:lvlText w:val="%1."/>
      <w:numFmt w:val="decimal"/>
      <w:start w:val="5"/>
    </w:lvl>
  </w:abstractNum>
  <w:abstractNum w:abstractNumId="35">
    <w:nsid w:val="6590700B"/>
    <w:multiLevelType w:val="hybridMultilevel"/>
    <w:lvl w:ilvl="0">
      <w:lvlJc w:val="left"/>
      <w:lvlText w:val="%1."/>
      <w:numFmt w:val="decimal"/>
      <w:start w:val="5"/>
    </w:lvl>
  </w:abstractNum>
  <w:abstractNum w:abstractNumId="36">
    <w:nsid w:val="15014ACB"/>
    <w:multiLevelType w:val="hybridMultilevel"/>
    <w:lvl w:ilvl="0">
      <w:lvlJc w:val="left"/>
      <w:lvlText w:val="%1."/>
      <w:numFmt w:val="decimal"/>
      <w:start w:val="5"/>
    </w:lvl>
  </w:abstractNum>
  <w:abstractNum w:abstractNumId="37">
    <w:nsid w:val="5F5E7FD0"/>
    <w:multiLevelType w:val="hybridMultilevel"/>
    <w:lvl w:ilvl="0">
      <w:lvlJc w:val="left"/>
      <w:lvlText w:val="%1."/>
      <w:numFmt w:val="decimal"/>
      <w:start w:val="5"/>
    </w:lvl>
  </w:abstractNum>
  <w:abstractNum w:abstractNumId="38">
    <w:nsid w:val="98A3148"/>
    <w:multiLevelType w:val="hybridMultilevel"/>
    <w:lvl w:ilvl="0">
      <w:lvlJc w:val="left"/>
      <w:lvlText w:val="%1."/>
      <w:numFmt w:val="decimal"/>
      <w:start w:val="5"/>
    </w:lvl>
  </w:abstractNum>
  <w:abstractNum w:abstractNumId="39">
    <w:nsid w:val="799D0247"/>
    <w:multiLevelType w:val="hybridMultilevel"/>
    <w:lvl w:ilvl="0">
      <w:lvlJc w:val="left"/>
      <w:lvlText w:val="%1."/>
      <w:numFmt w:val="decimal"/>
      <w:start w:val="5"/>
    </w:lvl>
  </w:abstractNum>
  <w:abstractNum w:abstractNumId="40">
    <w:nsid w:val="6B94764"/>
    <w:multiLevelType w:val="hybridMultilevel"/>
    <w:lvl w:ilvl="0">
      <w:lvlJc w:val="left"/>
      <w:lvlText w:val="%1."/>
      <w:numFmt w:val="decimal"/>
      <w:start w:val="5"/>
    </w:lvl>
  </w:abstractNum>
  <w:abstractNum w:abstractNumId="41">
    <w:nsid w:val="42C296BD"/>
    <w:multiLevelType w:val="hybridMultilevel"/>
    <w:lvl w:ilvl="0">
      <w:lvlJc w:val="left"/>
      <w:lvlText w:val="%1."/>
      <w:numFmt w:val="decimal"/>
      <w:start w:val="5"/>
    </w:lvl>
  </w:abstractNum>
  <w:abstractNum w:abstractNumId="42">
    <w:nsid w:val="168E121F"/>
    <w:multiLevelType w:val="hybridMultilevel"/>
    <w:lvl w:ilvl="0">
      <w:lvlJc w:val="left"/>
      <w:lvlText w:val="%1."/>
      <w:numFmt w:val="decimal"/>
      <w:start w:val="5"/>
    </w:lvl>
  </w:abstractNum>
  <w:abstractNum w:abstractNumId="43">
    <w:nsid w:val="1EBA5D23"/>
    <w:multiLevelType w:val="hybridMultilevel"/>
    <w:lvl w:ilvl="0">
      <w:lvlJc w:val="left"/>
      <w:lvlText w:val="%1."/>
      <w:numFmt w:val="decimal"/>
      <w:start w:val="5"/>
    </w:lvl>
  </w:abstractNum>
  <w:abstractNum w:abstractNumId="44">
    <w:nsid w:val="661E3F1E"/>
    <w:multiLevelType w:val="hybridMultilevel"/>
    <w:lvl w:ilvl="0">
      <w:lvlJc w:val="left"/>
      <w:lvlText w:val="%1."/>
      <w:numFmt w:val="decimal"/>
      <w:start w:val="5"/>
    </w:lvl>
  </w:abstractNum>
  <w:abstractNum w:abstractNumId="45">
    <w:nsid w:val="5DC79EA8"/>
    <w:multiLevelType w:val="hybridMultilevel"/>
    <w:lvl w:ilvl="0">
      <w:lvlJc w:val="left"/>
      <w:lvlText w:val="%1."/>
      <w:numFmt w:val="decimal"/>
      <w:start w:val="5"/>
    </w:lvl>
  </w:abstractNum>
  <w:abstractNum w:abstractNumId="46">
    <w:nsid w:val="540A471C"/>
    <w:multiLevelType w:val="hybridMultilevel"/>
    <w:lvl w:ilvl="0">
      <w:lvlJc w:val="left"/>
      <w:lvlText w:val="%1)"/>
      <w:numFmt w:val="lowerLetter"/>
      <w:start w:val="1"/>
    </w:lvl>
  </w:abstractNum>
  <w:abstractNum w:abstractNumId="47">
    <w:nsid w:val="7BD3EE7B"/>
    <w:multiLevelType w:val="hybridMultilevel"/>
    <w:lvl w:ilvl="0">
      <w:lvlJc w:val="left"/>
      <w:lvlText w:val="%1."/>
      <w:numFmt w:val="decimal"/>
      <w:start w:val="5"/>
    </w:lvl>
    <w:lvl w:ilvl="1">
      <w:lvlJc w:val="left"/>
      <w:lvlText w:val="%2)"/>
      <w:numFmt w:val="lowerLetter"/>
      <w:start w:val="1"/>
    </w:lvl>
  </w:abstractNum>
  <w:abstractNum w:abstractNumId="48">
    <w:nsid w:val="51D9C564"/>
    <w:multiLevelType w:val="hybridMultilevel"/>
    <w:lvl w:ilvl="0">
      <w:lvlJc w:val="left"/>
      <w:lvlText w:val="%1."/>
      <w:numFmt w:val="decimal"/>
      <w:start w:val="5"/>
    </w:lvl>
    <w:lvl w:ilvl="1">
      <w:lvlJc w:val="left"/>
      <w:lvlText w:val="%2)"/>
      <w:numFmt w:val="lowerLetter"/>
      <w:start w:val="2"/>
    </w:lvl>
  </w:abstractNum>
  <w:abstractNum w:abstractNumId="49">
    <w:nsid w:val="613EFDC5"/>
    <w:multiLevelType w:val="hybridMultilevel"/>
    <w:lvl w:ilvl="0">
      <w:lvlJc w:val="left"/>
      <w:lvlText w:val="%1."/>
      <w:numFmt w:val="decimal"/>
      <w:start w:val="5"/>
    </w:lvl>
  </w:abstractNum>
  <w:abstractNum w:abstractNumId="50">
    <w:nsid w:val="BF72B14"/>
    <w:multiLevelType w:val="hybridMultilevel"/>
    <w:lvl w:ilvl="0">
      <w:lvlJc w:val="left"/>
      <w:lvlText w:val="%1)"/>
      <w:numFmt w:val="lowerLetter"/>
      <w:start w:val="2"/>
    </w:lvl>
  </w:abstractNum>
  <w:abstractNum w:abstractNumId="51">
    <w:nsid w:val="11447B73"/>
    <w:multiLevelType w:val="hybridMultilevel"/>
    <w:lvl w:ilvl="0">
      <w:lvlJc w:val="left"/>
      <w:lvlText w:val="%1."/>
      <w:numFmt w:val="decimal"/>
      <w:start w:val="6"/>
    </w:lvl>
  </w:abstractNum>
  <w:abstractNum w:abstractNumId="52">
    <w:nsid w:val="42963E5A"/>
    <w:multiLevelType w:val="hybridMultilevel"/>
    <w:lvl w:ilvl="0">
      <w:lvlJc w:val="left"/>
      <w:lvlText w:val="(%1)"/>
      <w:numFmt w:val="decimal"/>
      <w:start w:val="1"/>
    </w:lvl>
  </w:abstractNum>
  <w:abstractNum w:abstractNumId="53">
    <w:nsid w:val="A0382C5"/>
    <w:multiLevelType w:val="hybridMultilevel"/>
    <w:lvl w:ilvl="0">
      <w:lvlJc w:val="left"/>
      <w:lvlText w:val="%1."/>
      <w:numFmt w:val="decimal"/>
      <w:start w:val="6"/>
    </w:lvl>
  </w:abstractNum>
  <w:abstractNum w:abstractNumId="54">
    <w:nsid w:val="8F2B15E"/>
    <w:multiLevelType w:val="hybridMultilevel"/>
    <w:lvl w:ilvl="0">
      <w:lvlJc w:val="left"/>
      <w:lvlText w:val="%1."/>
      <w:numFmt w:val="decimal"/>
      <w:start w:val="6"/>
    </w:lvl>
  </w:abstractNum>
  <w:abstractNum w:abstractNumId="55">
    <w:nsid w:val="1A32234B"/>
    <w:multiLevelType w:val="hybridMultilevel"/>
    <w:lvl w:ilvl="0">
      <w:lvlJc w:val="left"/>
      <w:lvlText w:val="(%1)"/>
      <w:numFmt w:val="decimal"/>
      <w:start w:val="1"/>
    </w:lvl>
  </w:abstractNum>
  <w:abstractNum w:abstractNumId="56">
    <w:nsid w:val="3B0FD379"/>
    <w:multiLevelType w:val="hybridMultilevel"/>
    <w:lvl w:ilvl="0">
      <w:lvlJc w:val="left"/>
      <w:lvlText w:val="%1."/>
      <w:numFmt w:val="decimal"/>
      <w:start w:val="7"/>
    </w:lvl>
  </w:abstractNum>
  <w:abstractNum w:abstractNumId="57">
    <w:nsid w:val="68EB2F63"/>
    <w:multiLevelType w:val="hybridMultilevel"/>
    <w:lvl w:ilvl="0">
      <w:lvlJc w:val="left"/>
      <w:lvlText w:val="%1"/>
      <w:numFmt w:val="decimal"/>
      <w:start w:val="1"/>
    </w:lvl>
    <w:lvl w:ilvl="1">
      <w:lvlJc w:val="left"/>
      <w:lvlText w:val="(%2)"/>
      <w:numFmt w:val="decimal"/>
      <w:start w:val="1"/>
    </w:lvl>
  </w:abstractNum>
  <w:abstractNum w:abstractNumId="58">
    <w:nsid w:val="4962813B"/>
    <w:multiLevelType w:val="hybridMultilevel"/>
    <w:lvl w:ilvl="0">
      <w:lvlJc w:val="left"/>
      <w:lvlText w:val="%1."/>
      <w:numFmt w:val="decimal"/>
      <w:start w:val="8"/>
    </w:lvl>
    <w:lvl w:ilvl="1">
      <w:lvlJc w:val="left"/>
      <w:lvlText w:val="%2"/>
      <w:numFmt w:val="decimal"/>
      <w:start w:val="1"/>
    </w:lvl>
  </w:abstractNum>
  <w:abstractNum w:abstractNumId="59">
    <w:nsid w:val="60B6DF70"/>
    <w:multiLevelType w:val="hybridMultilevel"/>
    <w:lvl w:ilvl="0">
      <w:lvlJc w:val="left"/>
      <w:lvlText w:val="(%1)"/>
      <w:numFmt w:val="decimal"/>
      <w:start w:val="1"/>
    </w:lvl>
  </w:abstractNum>
  <w:abstractNum w:abstractNumId="60">
    <w:nsid w:val="6A5EE64"/>
    <w:multiLevelType w:val="hybridMultilevel"/>
    <w:lvl w:ilvl="0">
      <w:lvlJc w:val="left"/>
      <w:lvlText w:val="%1."/>
      <w:numFmt w:val="decimal"/>
      <w:start w:val="10"/>
    </w:lvl>
  </w:abstractNum>
  <w:abstractNum w:abstractNumId="61">
    <w:nsid w:val="14330624"/>
    <w:multiLevelType w:val="hybridMultilevel"/>
    <w:lvl w:ilvl="0">
      <w:lvlJc w:val="left"/>
      <w:lvlText w:val="%1."/>
      <w:numFmt w:val="decimal"/>
      <w:start w:val="11"/>
    </w:lvl>
  </w:abstractNum>
  <w:abstractNum w:abstractNumId="62">
    <w:nsid w:val="7FFFCA11"/>
    <w:multiLevelType w:val="hybridMultilevel"/>
    <w:lvl w:ilvl="0">
      <w:lvlJc w:val="left"/>
      <w:lvlText w:val="%1."/>
      <w:numFmt w:val="decimal"/>
      <w:start w:val="11"/>
    </w:lvl>
  </w:abstractNum>
  <w:abstractNum w:abstractNumId="63">
    <w:nsid w:val="1A27709E"/>
    <w:multiLevelType w:val="hybridMultilevel"/>
    <w:lvl w:ilvl="0">
      <w:lvlJc w:val="left"/>
      <w:lvlText w:val="%1."/>
      <w:numFmt w:val="decimal"/>
      <w:start w:val="11"/>
    </w:lvl>
  </w:abstractNum>
  <w:abstractNum w:abstractNumId="64">
    <w:nsid w:val="71EA1109"/>
    <w:multiLevelType w:val="hybridMultilevel"/>
    <w:lvl w:ilvl="0">
      <w:lvlJc w:val="left"/>
      <w:lvlText w:val="%1."/>
      <w:numFmt w:val="decimal"/>
      <w:start w:val="12"/>
    </w:lvl>
  </w:abstractNum>
  <w:abstractNum w:abstractNumId="65">
    <w:nsid w:val="100F59DC"/>
    <w:multiLevelType w:val="hybridMultilevel"/>
    <w:lvl w:ilvl="0">
      <w:lvlJc w:val="left"/>
      <w:lvlText w:val="%1."/>
      <w:numFmt w:val="decimal"/>
      <w:start w:val="14"/>
    </w:lvl>
    <w:lvl w:ilvl="1">
      <w:lvlJc w:val="left"/>
      <w:lvlText w:val="%2)"/>
      <w:numFmt w:val="decimal"/>
      <w:start w:val="1"/>
    </w:lvl>
  </w:abstractNum>
  <w:abstractNum w:abstractNumId="66">
    <w:nsid w:val="7FB7E0AA"/>
    <w:multiLevelType w:val="hybridMultilevel"/>
    <w:lvl w:ilvl="0">
      <w:lvlJc w:val="left"/>
      <w:lvlText w:val="%1."/>
      <w:numFmt w:val="decimal"/>
      <w:start w:val="15"/>
    </w:lvl>
  </w:abstractNum>
  <w:abstractNum w:abstractNumId="67">
    <w:nsid w:val="6EB5BD4"/>
    <w:multiLevelType w:val="hybridMultilevel"/>
    <w:lvl w:ilvl="0">
      <w:lvlJc w:val="left"/>
      <w:lvlText w:val="%1."/>
      <w:numFmt w:val="decimal"/>
      <w:start w:val="16"/>
    </w:lvl>
  </w:abstractNum>
  <w:abstractNum w:abstractNumId="68">
    <w:nsid w:val="6F6DD9AC"/>
    <w:multiLevelType w:val="hybridMultilevel"/>
    <w:lvl w:ilvl="0">
      <w:lvlJc w:val="left"/>
      <w:lvlText w:val="(%1)"/>
      <w:numFmt w:val="decimal"/>
      <w:start w:val="1"/>
    </w:lvl>
  </w:abstractNum>
  <w:abstractNum w:abstractNumId="69">
    <w:nsid w:val="94211F2"/>
    <w:multiLevelType w:val="hybridMultilevel"/>
    <w:lvl w:ilvl="0">
      <w:lvlJc w:val="left"/>
      <w:lvlText w:val="%1."/>
      <w:numFmt w:val="decimal"/>
      <w:start w:val="16"/>
    </w:lvl>
  </w:abstractNum>
  <w:abstractNum w:abstractNumId="70">
    <w:nsid w:val="885E1B"/>
    <w:multiLevelType w:val="hybridMultilevel"/>
    <w:lvl w:ilvl="0">
      <w:lvlJc w:val="left"/>
      <w:lvlText w:val="%1."/>
      <w:numFmt w:val="decimal"/>
      <w:start w:val="17"/>
    </w:lvl>
  </w:abstractNum>
  <w:abstractNum w:abstractNumId="71">
    <w:nsid w:val="76272110"/>
    <w:multiLevelType w:val="hybridMultilevel"/>
    <w:lvl w:ilvl="0">
      <w:lvlJc w:val="left"/>
      <w:lvlText w:val="%1."/>
      <w:numFmt w:val="decimal"/>
      <w:start w:val="17"/>
    </w:lvl>
  </w:abstractNum>
  <w:abstractNum w:abstractNumId="72">
    <w:nsid w:val="4C04A8AF"/>
    <w:multiLevelType w:val="hybridMultilevel"/>
    <w:lvl w:ilvl="0">
      <w:lvlJc w:val="left"/>
      <w:lvlText w:val="(%1)"/>
      <w:numFmt w:val="decimal"/>
      <w:start w:val="1"/>
    </w:lvl>
  </w:abstractNum>
  <w:abstractNum w:abstractNumId="73">
    <w:nsid w:val="1716703B"/>
    <w:multiLevelType w:val="hybridMultilevel"/>
    <w:lvl w:ilvl="0">
      <w:lvlJc w:val="left"/>
      <w:lvlText w:val="%1."/>
      <w:numFmt w:val="decimal"/>
      <w:start w:val="18"/>
    </w:lvl>
  </w:abstractNum>
  <w:abstractNum w:abstractNumId="74">
    <w:nsid w:val="14E17E33"/>
    <w:multiLevelType w:val="hybridMultilevel"/>
    <w:lvl w:ilvl="0">
      <w:lvlJc w:val="left"/>
      <w:lvlText w:val="%1."/>
      <w:numFmt w:val="decimal"/>
      <w:start w:val="18"/>
    </w:lvl>
  </w:abstractNum>
  <w:abstractNum w:abstractNumId="75">
    <w:nsid w:val="3222E7CD"/>
    <w:multiLevelType w:val="hybridMultilevel"/>
    <w:lvl w:ilvl="0">
      <w:lvlJc w:val="left"/>
      <w:lvlText w:val="%1."/>
      <w:numFmt w:val="decimal"/>
      <w:start w:val="18"/>
    </w:lvl>
  </w:abstractNum>
  <w:abstractNum w:abstractNumId="76">
    <w:nsid w:val="74DE0EE3"/>
    <w:multiLevelType w:val="hybridMultilevel"/>
    <w:lvl w:ilvl="0">
      <w:lvlJc w:val="left"/>
      <w:lvlText w:val="(%1)"/>
      <w:numFmt w:val="lowerLetter"/>
      <w:start w:val="1"/>
    </w:lvl>
  </w:abstractNum>
  <w:abstractNum w:abstractNumId="77">
    <w:nsid w:val="68EBC550"/>
    <w:multiLevelType w:val="hybridMultilevel"/>
    <w:lvl w:ilvl="0">
      <w:lvlJc w:val="left"/>
      <w:lvlText w:val="(%1)"/>
      <w:numFmt w:val="lowerLetter"/>
      <w:start w:val="1"/>
    </w:lvl>
    <w:lvl w:ilvl="1">
      <w:lvlJc w:val="left"/>
      <w:lvlText w:val="(%2)"/>
      <w:numFmt w:val="decimal"/>
      <w:start w:val="1"/>
    </w:lvl>
  </w:abstractNum>
  <w:abstractNum w:abstractNumId="78">
    <w:nsid w:val="2DF6D648"/>
    <w:multiLevelType w:val="hybridMultilevel"/>
    <w:lvl w:ilvl="0">
      <w:lvlJc w:val="left"/>
      <w:lvlText w:val="%1."/>
      <w:numFmt w:val="decimal"/>
      <w:start w:val="18"/>
    </w:lvl>
  </w:abstractNum>
  <w:abstractNum w:abstractNumId="79">
    <w:nsid w:val="46B7D447"/>
    <w:multiLevelType w:val="hybridMultilevel"/>
    <w:lvl w:ilvl="0">
      <w:lvlJc w:val="left"/>
      <w:lvlText w:val="%1."/>
      <w:numFmt w:val="decimal"/>
      <w:start w:val="18"/>
    </w:lvl>
  </w:abstractNum>
  <w:abstractNum w:abstractNumId="80">
    <w:nsid w:val="4A2AC315"/>
    <w:multiLevelType w:val="hybridMultilevel"/>
    <w:lvl w:ilvl="0">
      <w:lvlJc w:val="left"/>
      <w:lvlText w:val="(%1)"/>
      <w:numFmt w:val="lowerLetter"/>
      <w:start w:val="1"/>
    </w:lvl>
    <w:lvl w:ilvl="1">
      <w:lvlJc w:val="left"/>
      <w:lvlText w:val="(%2)"/>
      <w:numFmt w:val="decimal"/>
      <w:start w:val="1"/>
    </w:lvl>
  </w:abstractNum>
  <w:abstractNum w:abstractNumId="81">
    <w:nsid w:val="39EE015C"/>
    <w:multiLevelType w:val="hybridMultilevel"/>
    <w:lvl w:ilvl="0">
      <w:lvlJc w:val="left"/>
      <w:lvlText w:val="%1."/>
      <w:numFmt w:val="decimal"/>
      <w:start w:val="19"/>
    </w:lvl>
  </w:abstractNum>
  <w:abstractNum w:abstractNumId="82">
    <w:nsid w:val="57FC4FBB"/>
    <w:multiLevelType w:val="hybridMultilevel"/>
    <w:lvl w:ilvl="0">
      <w:lvlJc w:val="left"/>
      <w:lvlText w:val="%1."/>
      <w:numFmt w:val="decimal"/>
      <w:start w:val="20"/>
    </w:lvl>
  </w:abstractNum>
  <w:abstractNum w:abstractNumId="83">
    <w:nsid w:val="CC1016F"/>
    <w:multiLevelType w:val="hybridMultilevel"/>
    <w:lvl w:ilvl="0">
      <w:lvlJc w:val="left"/>
      <w:lvlText w:val="%1."/>
      <w:numFmt w:val="decimal"/>
      <w:start w:val="21"/>
    </w:lvl>
  </w:abstractNum>
  <w:abstractNum w:abstractNumId="84">
    <w:nsid w:val="43F18422"/>
    <w:multiLevelType w:val="hybridMultilevel"/>
    <w:lvl w:ilvl="0">
      <w:lvlJc w:val="left"/>
      <w:lvlText w:val="%1."/>
      <w:numFmt w:val="decimal"/>
      <w:start w:val="21"/>
    </w:lvl>
  </w:abstractNum>
  <w:abstractNum w:abstractNumId="85">
    <w:nsid w:val="60EF0119"/>
    <w:multiLevelType w:val="hybridMultilevel"/>
    <w:lvl w:ilvl="0">
      <w:lvlJc w:val="left"/>
      <w:lvlText w:val="%1."/>
      <w:numFmt w:val="decimal"/>
      <w:start w:val="21"/>
    </w:lvl>
  </w:abstractNum>
  <w:abstractNum w:abstractNumId="86">
    <w:nsid w:val="26F324BA"/>
    <w:multiLevelType w:val="hybridMultilevel"/>
    <w:lvl w:ilvl="0">
      <w:lvlJc w:val="left"/>
      <w:lvlText w:val="-"/>
      <w:numFmt w:val="bullet"/>
      <w:start w:val="1"/>
    </w:lvl>
  </w:abstractNum>
  <w:abstractNum w:abstractNumId="87">
    <w:nsid w:val="7F01579B"/>
    <w:multiLevelType w:val="hybridMultilevel"/>
    <w:lvl w:ilvl="0">
      <w:lvlJc w:val="left"/>
      <w:lvlText w:val="-"/>
      <w:numFmt w:val="bullet"/>
      <w:start w:val="1"/>
    </w:lvl>
  </w:abstractNum>
  <w:abstractNum w:abstractNumId="88">
    <w:nsid w:val="49DA307D"/>
    <w:multiLevelType w:val="hybridMultilevel"/>
    <w:lvl w:ilvl="0">
      <w:lvlJc w:val="left"/>
      <w:lvlText w:val="%1."/>
      <w:numFmt w:val="decimal"/>
      <w:start w:val="21"/>
    </w:lvl>
  </w:abstractNum>
  <w:abstractNum w:abstractNumId="89">
    <w:nsid w:val="7055A5F5"/>
    <w:multiLevelType w:val="hybridMultilevel"/>
    <w:lvl w:ilvl="0">
      <w:lvlJc w:val="left"/>
      <w:lvlText w:val="%1."/>
      <w:numFmt w:val="decimal"/>
      <w:start w:val="21"/>
    </w:lvl>
  </w:abstractNum>
  <w:abstractNum w:abstractNumId="90">
    <w:nsid w:val="5FB8370B"/>
    <w:multiLevelType w:val="hybridMultilevel"/>
    <w:lvl w:ilvl="0">
      <w:lvlJc w:val="left"/>
      <w:lvlText w:val="%1."/>
      <w:numFmt w:val="decimal"/>
      <w:start w:val="21"/>
    </w:lvl>
  </w:abstractNum>
  <w:abstractNum w:abstractNumId="91">
    <w:nsid w:val="50801EE1"/>
    <w:multiLevelType w:val="hybridMultilevel"/>
    <w:lvl w:ilvl="0">
      <w:lvlJc w:val="left"/>
      <w:lvlText w:val="%1."/>
      <w:numFmt w:val="decimal"/>
      <w:start w:val="21"/>
    </w:lvl>
  </w:abstractNum>
  <w:abstractNum w:abstractNumId="92">
    <w:nsid w:val="488AC1A"/>
    <w:multiLevelType w:val="hybridMultilevel"/>
    <w:lvl w:ilvl="0">
      <w:lvlJc w:val="left"/>
      <w:lvlText w:val="(%1)"/>
      <w:numFmt w:val="decimal"/>
      <w:start w:val="1"/>
    </w:lvl>
  </w:abstractNum>
  <w:abstractNum w:abstractNumId="93">
    <w:nsid w:val="5FB8011C"/>
    <w:multiLevelType w:val="hybridMultilevel"/>
    <w:lvl w:ilvl="0">
      <w:lvlJc w:val="left"/>
      <w:lvlText w:val="(%1)"/>
      <w:numFmt w:val="decimal"/>
      <w:start w:val="1"/>
    </w:lvl>
  </w:abstractNum>
  <w:abstractNum w:abstractNumId="94">
    <w:nsid w:val="6AA78F7F"/>
    <w:multiLevelType w:val="hybridMultilevel"/>
    <w:lvl w:ilvl="0">
      <w:lvlJc w:val="left"/>
      <w:lvlText w:val="%1."/>
      <w:numFmt w:val="decimal"/>
      <w:start w:val="21"/>
    </w:lvl>
  </w:abstractNum>
  <w:abstractNum w:abstractNumId="95">
    <w:nsid w:val="7672BD23"/>
    <w:multiLevelType w:val="hybridMultilevel"/>
    <w:lvl w:ilvl="0">
      <w:lvlJc w:val="left"/>
      <w:lvlText w:val="%1."/>
      <w:numFmt w:val="decimal"/>
      <w:start w:val="22"/>
    </w:lvl>
  </w:abstractNum>
  <w:abstractNum w:abstractNumId="96">
    <w:nsid w:val="6FC75AF8"/>
    <w:multiLevelType w:val="hybridMultilevel"/>
    <w:lvl w:ilvl="0">
      <w:lvlJc w:val="left"/>
      <w:lvlText w:val="%1."/>
      <w:numFmt w:val="decimal"/>
      <w:start w:val="22"/>
    </w:lvl>
  </w:abstractNum>
  <w:abstractNum w:abstractNumId="97">
    <w:nsid w:val="6A5F7029"/>
    <w:multiLevelType w:val="hybridMultilevel"/>
    <w:lvl w:ilvl="0">
      <w:lvlJc w:val="left"/>
      <w:lvlText w:val="%1."/>
      <w:numFmt w:val="decimal"/>
      <w:start w:val="22"/>
    </w:lvl>
  </w:abstractNum>
  <w:abstractNum w:abstractNumId="98">
    <w:nsid w:val="7D5E18F8"/>
    <w:multiLevelType w:val="hybridMultilevel"/>
    <w:lvl w:ilvl="0">
      <w:lvlJc w:val="left"/>
      <w:lvlText w:val="%1"/>
      <w:numFmt w:val="decimal"/>
      <w:start w:val="1"/>
    </w:lvl>
    <w:lvl w:ilvl="1">
      <w:lvlJc w:val="left"/>
      <w:lvlText w:val="%2."/>
      <w:numFmt w:val="decimal"/>
      <w:start w:val="1"/>
    </w:lvl>
  </w:abstractNum>
  <w:abstractNum w:abstractNumId="99">
    <w:nsid w:val="5F3534A4"/>
    <w:multiLevelType w:val="hybridMultilevel"/>
    <w:lvl w:ilvl="0">
      <w:lvlJc w:val="left"/>
      <w:lvlText w:val="%1."/>
      <w:numFmt w:val="decimal"/>
      <w:start w:val="3"/>
    </w:lvl>
    <w:lvl w:ilvl="1">
      <w:lvlJc w:val="left"/>
      <w:lvlText w:val="%2."/>
      <w:numFmt w:val="decimal"/>
      <w:start w:val="4"/>
    </w:lvl>
  </w:abstractNum>
  <w:abstractNum w:abstractNumId="100">
    <w:nsid w:val="73A1821B"/>
    <w:multiLevelType w:val="hybridMultilevel"/>
    <w:lvl w:ilvl="0">
      <w:lvlJc w:val="left"/>
      <w:lvlText w:val="%1."/>
      <w:numFmt w:val="decimal"/>
      <w:start w:val="22"/>
    </w:lvl>
  </w:abstractNum>
  <w:abstractNum w:abstractNumId="101">
    <w:nsid w:val="7DE67713"/>
    <w:multiLevelType w:val="hybridMultilevel"/>
    <w:lvl w:ilvl="0">
      <w:lvlJc w:val="left"/>
      <w:lvlText w:val="%1."/>
      <w:numFmt w:val="decimal"/>
      <w:start w:val="23"/>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2020-01-10T20:31:25Z</dcterms:created>
  <dcterms:modified xsi:type="dcterms:W3CDTF">2020-01-10T20:31:25Z</dcterms:modified>
</cp:coreProperties>
</file>